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403C47">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403C47">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403C47">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403C47">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795C64" w14:paraId="5AC275BE" w14:textId="77777777">
        <w:trPr>
          <w:jc w:val="center"/>
        </w:trPr>
        <w:tc>
          <w:tcPr>
            <w:tcW w:w="4419" w:type="dxa"/>
          </w:tcPr>
          <w:p w14:paraId="3D8027E0" w14:textId="77777777" w:rsidR="00795C64" w:rsidRDefault="00403C47">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vAlign w:val="center"/>
          </w:tcPr>
          <w:p w14:paraId="78867EFC" w14:textId="21E85D14" w:rsidR="00795C64" w:rsidRDefault="00911196">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Psychology and Educational Sciences</w:t>
            </w:r>
          </w:p>
        </w:tc>
      </w:tr>
      <w:tr w:rsidR="00911196" w:rsidRPr="00911196" w14:paraId="30404636" w14:textId="77777777">
        <w:trPr>
          <w:jc w:val="center"/>
        </w:trPr>
        <w:tc>
          <w:tcPr>
            <w:tcW w:w="4419" w:type="dxa"/>
          </w:tcPr>
          <w:p w14:paraId="712BDEF3" w14:textId="77777777" w:rsidR="00911196" w:rsidRDefault="00911196" w:rsidP="0091119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vAlign w:val="center"/>
          </w:tcPr>
          <w:p w14:paraId="3B1503D1" w14:textId="54DCC9B1" w:rsidR="00911196" w:rsidRPr="00911196" w:rsidRDefault="00911196" w:rsidP="00911196">
            <w:pPr>
              <w:pBdr>
                <w:top w:val="nil"/>
                <w:left w:val="nil"/>
                <w:bottom w:val="nil"/>
                <w:right w:val="nil"/>
                <w:between w:val="nil"/>
              </w:pBdr>
              <w:spacing w:line="276" w:lineRule="auto"/>
              <w:rPr>
                <w:rFonts w:asciiTheme="minorHAnsi" w:eastAsia="Calibri" w:hAnsiTheme="minorHAnsi" w:cstheme="minorHAnsi"/>
                <w:color w:val="000000"/>
              </w:rPr>
            </w:pPr>
            <w:r w:rsidRPr="00911196">
              <w:rPr>
                <w:rFonts w:asciiTheme="minorHAnsi" w:hAnsiTheme="minorHAnsi" w:cstheme="minorHAnsi"/>
              </w:rPr>
              <w:t>Psychology</w:t>
            </w:r>
          </w:p>
        </w:tc>
      </w:tr>
      <w:tr w:rsidR="00911196" w:rsidRPr="00911196" w14:paraId="4ADA12C1" w14:textId="77777777">
        <w:trPr>
          <w:jc w:val="center"/>
        </w:trPr>
        <w:tc>
          <w:tcPr>
            <w:tcW w:w="4419" w:type="dxa"/>
          </w:tcPr>
          <w:p w14:paraId="2CD264ED" w14:textId="77777777" w:rsidR="00911196" w:rsidRDefault="00911196" w:rsidP="0091119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vAlign w:val="center"/>
          </w:tcPr>
          <w:p w14:paraId="1E76B3BD" w14:textId="562C9825" w:rsidR="00911196" w:rsidRPr="00911196" w:rsidRDefault="00911196" w:rsidP="00911196">
            <w:pPr>
              <w:pBdr>
                <w:top w:val="nil"/>
                <w:left w:val="nil"/>
                <w:bottom w:val="nil"/>
                <w:right w:val="nil"/>
                <w:between w:val="nil"/>
              </w:pBdr>
              <w:spacing w:line="276" w:lineRule="auto"/>
              <w:rPr>
                <w:rFonts w:asciiTheme="minorHAnsi" w:eastAsia="Calibri" w:hAnsiTheme="minorHAnsi" w:cstheme="minorHAnsi"/>
                <w:color w:val="000000"/>
              </w:rPr>
            </w:pPr>
            <w:r w:rsidRPr="00911196">
              <w:rPr>
                <w:rFonts w:asciiTheme="minorHAnsi" w:hAnsiTheme="minorHAnsi" w:cstheme="minorHAnsi"/>
              </w:rPr>
              <w:t>Psychology</w:t>
            </w:r>
          </w:p>
        </w:tc>
      </w:tr>
      <w:tr w:rsidR="00911196" w:rsidRPr="00911196" w14:paraId="15E7547E" w14:textId="77777777">
        <w:trPr>
          <w:jc w:val="center"/>
        </w:trPr>
        <w:tc>
          <w:tcPr>
            <w:tcW w:w="4419" w:type="dxa"/>
          </w:tcPr>
          <w:p w14:paraId="2B0E5FB0" w14:textId="77777777" w:rsidR="00911196" w:rsidRDefault="00911196" w:rsidP="0091119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vAlign w:val="center"/>
          </w:tcPr>
          <w:p w14:paraId="6179BA27" w14:textId="6D94D740" w:rsidR="00911196" w:rsidRPr="00911196" w:rsidRDefault="00911196" w:rsidP="00911196">
            <w:pPr>
              <w:pBdr>
                <w:top w:val="nil"/>
                <w:left w:val="nil"/>
                <w:bottom w:val="nil"/>
                <w:right w:val="nil"/>
                <w:between w:val="nil"/>
              </w:pBdr>
              <w:rPr>
                <w:rFonts w:asciiTheme="minorHAnsi" w:eastAsia="Calibri" w:hAnsiTheme="minorHAnsi" w:cstheme="minorHAnsi"/>
                <w:color w:val="000000"/>
              </w:rPr>
            </w:pPr>
            <w:r w:rsidRPr="00911196">
              <w:rPr>
                <w:rFonts w:asciiTheme="minorHAnsi" w:hAnsiTheme="minorHAnsi" w:cstheme="minorHAnsi"/>
              </w:rPr>
              <w:t>Bachelor</w:t>
            </w:r>
          </w:p>
        </w:tc>
      </w:tr>
      <w:tr w:rsidR="00911196" w:rsidRPr="00911196" w14:paraId="6C0E0C3F" w14:textId="77777777">
        <w:trPr>
          <w:jc w:val="center"/>
        </w:trPr>
        <w:tc>
          <w:tcPr>
            <w:tcW w:w="4419" w:type="dxa"/>
          </w:tcPr>
          <w:p w14:paraId="66A135F2" w14:textId="00B8D0CF" w:rsidR="00911196" w:rsidRDefault="00911196" w:rsidP="0091119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vAlign w:val="center"/>
          </w:tcPr>
          <w:p w14:paraId="519F6C64" w14:textId="07D5AEE4" w:rsidR="00911196" w:rsidRPr="00911196" w:rsidRDefault="00911196" w:rsidP="00911196">
            <w:pPr>
              <w:pBdr>
                <w:top w:val="nil"/>
                <w:left w:val="nil"/>
                <w:bottom w:val="nil"/>
                <w:right w:val="nil"/>
                <w:between w:val="nil"/>
              </w:pBdr>
              <w:rPr>
                <w:rFonts w:asciiTheme="minorHAnsi" w:eastAsia="Calibri" w:hAnsiTheme="minorHAnsi" w:cstheme="minorHAnsi"/>
                <w:color w:val="000000"/>
              </w:rPr>
            </w:pPr>
            <w:r w:rsidRPr="00911196">
              <w:rPr>
                <w:rFonts w:asciiTheme="minorHAnsi" w:hAnsiTheme="minorHAnsi" w:cstheme="minorHAnsi"/>
              </w:rPr>
              <w:t>Psychology</w:t>
            </w:r>
            <w:r w:rsidR="0062052F" w:rsidRPr="00911196">
              <w:rPr>
                <w:rFonts w:asciiTheme="minorHAnsi" w:hAnsiTheme="minorHAnsi" w:cstheme="minorHAnsi"/>
              </w:rPr>
              <w:t xml:space="preserve"> – Cognitive Sciences</w:t>
            </w:r>
          </w:p>
        </w:tc>
      </w:tr>
    </w:tbl>
    <w:p w14:paraId="71F8B782" w14:textId="77777777" w:rsidR="00795C64" w:rsidRDefault="00795C64">
      <w:pPr>
        <w:rPr>
          <w:rFonts w:ascii="Calibri" w:eastAsia="Calibri" w:hAnsi="Calibri" w:cs="Calibri"/>
          <w:sz w:val="20"/>
          <w:szCs w:val="20"/>
        </w:rPr>
      </w:pPr>
    </w:p>
    <w:p w14:paraId="6DA4E258" w14:textId="77777777" w:rsidR="00795C64" w:rsidRDefault="00403C47">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795C64" w14:paraId="19FB4F2C" w14:textId="77777777">
        <w:trPr>
          <w:jc w:val="center"/>
        </w:trPr>
        <w:tc>
          <w:tcPr>
            <w:tcW w:w="4106" w:type="dxa"/>
            <w:gridSpan w:val="3"/>
          </w:tcPr>
          <w:p w14:paraId="698C4E5D" w14:textId="77777777" w:rsidR="00795C64" w:rsidRDefault="00403C47">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tcPr>
          <w:p w14:paraId="46A7447D" w14:textId="238FA761" w:rsidR="00795C64" w:rsidRDefault="00911196">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Cognitive Neuroscience</w:t>
            </w:r>
          </w:p>
        </w:tc>
      </w:tr>
      <w:tr w:rsidR="00795C64" w14:paraId="0D9C69DF" w14:textId="77777777">
        <w:trPr>
          <w:jc w:val="center"/>
        </w:trPr>
        <w:tc>
          <w:tcPr>
            <w:tcW w:w="4106" w:type="dxa"/>
            <w:gridSpan w:val="3"/>
          </w:tcPr>
          <w:p w14:paraId="591903B4" w14:textId="77777777" w:rsidR="00795C64" w:rsidRDefault="00403C47">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tcPr>
          <w:p w14:paraId="2FAFFD7D" w14:textId="12FBEF7D" w:rsidR="00795C64" w:rsidRDefault="00D34C15">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Lect. </w:t>
            </w:r>
            <w:r w:rsidR="00911196">
              <w:rPr>
                <w:rFonts w:ascii="Calibri" w:eastAsia="Calibri" w:hAnsi="Calibri" w:cs="Calibri"/>
                <w:color w:val="000000"/>
              </w:rPr>
              <w:t xml:space="preserve">Dr. Iulia </w:t>
            </w:r>
            <w:proofErr w:type="spellStart"/>
            <w:r w:rsidR="00911196">
              <w:rPr>
                <w:rFonts w:ascii="Calibri" w:eastAsia="Calibri" w:hAnsi="Calibri" w:cs="Calibri"/>
                <w:color w:val="000000"/>
              </w:rPr>
              <w:t>Crișan</w:t>
            </w:r>
            <w:proofErr w:type="spellEnd"/>
          </w:p>
        </w:tc>
      </w:tr>
      <w:tr w:rsidR="00795C64" w14:paraId="6A887BB2" w14:textId="77777777">
        <w:trPr>
          <w:jc w:val="center"/>
        </w:trPr>
        <w:tc>
          <w:tcPr>
            <w:tcW w:w="4106" w:type="dxa"/>
            <w:gridSpan w:val="3"/>
          </w:tcPr>
          <w:p w14:paraId="44965219" w14:textId="77777777" w:rsidR="00795C64" w:rsidRDefault="00403C47">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tcPr>
          <w:p w14:paraId="55D86ADD" w14:textId="00C8F2A7" w:rsidR="00795C64" w:rsidRDefault="00D34C15">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Lect. </w:t>
            </w:r>
            <w:r w:rsidR="00911196">
              <w:rPr>
                <w:rFonts w:ascii="Calibri" w:eastAsia="Calibri" w:hAnsi="Calibri" w:cs="Calibri"/>
                <w:color w:val="000000"/>
              </w:rPr>
              <w:t xml:space="preserve">Dr. Iulia </w:t>
            </w:r>
            <w:proofErr w:type="spellStart"/>
            <w:r w:rsidR="00911196">
              <w:rPr>
                <w:rFonts w:ascii="Calibri" w:eastAsia="Calibri" w:hAnsi="Calibri" w:cs="Calibri"/>
                <w:color w:val="000000"/>
              </w:rPr>
              <w:t>Crișan</w:t>
            </w:r>
            <w:proofErr w:type="spellEnd"/>
          </w:p>
        </w:tc>
      </w:tr>
      <w:tr w:rsidR="00795C64" w14:paraId="23ACD348" w14:textId="77777777">
        <w:trPr>
          <w:jc w:val="center"/>
        </w:trPr>
        <w:tc>
          <w:tcPr>
            <w:tcW w:w="1980" w:type="dxa"/>
          </w:tcPr>
          <w:p w14:paraId="10FE4C96" w14:textId="77777777" w:rsidR="00795C64" w:rsidRDefault="00403C47">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04A67391" w:rsidR="00795C64" w:rsidRDefault="00911196">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III</w:t>
            </w:r>
          </w:p>
        </w:tc>
        <w:tc>
          <w:tcPr>
            <w:tcW w:w="1559" w:type="dxa"/>
          </w:tcPr>
          <w:p w14:paraId="77E3327B" w14:textId="77777777" w:rsidR="00795C64" w:rsidRDefault="00403C47">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6B011982" w:rsidR="00795C64" w:rsidRDefault="00911196">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II</w:t>
            </w:r>
          </w:p>
        </w:tc>
        <w:tc>
          <w:tcPr>
            <w:tcW w:w="1276" w:type="dxa"/>
          </w:tcPr>
          <w:p w14:paraId="498801AA" w14:textId="77777777" w:rsidR="00795C64" w:rsidRDefault="00403C47">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77777777" w:rsidR="00795C64" w:rsidRDefault="00403C47">
            <w:pPr>
              <w:rPr>
                <w:rFonts w:ascii="Calibri" w:eastAsia="Calibri" w:hAnsi="Calibri" w:cs="Calibri"/>
                <w:color w:val="000000"/>
              </w:rPr>
            </w:pPr>
            <w:r>
              <w:rPr>
                <w:rFonts w:ascii="Calibri" w:eastAsia="Calibri" w:hAnsi="Calibri" w:cs="Calibri"/>
                <w:sz w:val="22"/>
                <w:szCs w:val="22"/>
              </w:rPr>
              <w:t>E</w:t>
            </w:r>
            <w:r>
              <w:rPr>
                <w:rFonts w:ascii="Calibri" w:eastAsia="Calibri" w:hAnsi="Calibri" w:cs="Calibri"/>
                <w:sz w:val="22"/>
                <w:szCs w:val="22"/>
                <w:vertAlign w:val="superscript"/>
              </w:rPr>
              <w:footnoteReference w:id="1"/>
            </w:r>
          </w:p>
        </w:tc>
        <w:tc>
          <w:tcPr>
            <w:tcW w:w="1276" w:type="dxa"/>
          </w:tcPr>
          <w:p w14:paraId="0D1B416B" w14:textId="77777777" w:rsidR="00795C64" w:rsidRDefault="00403C47">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tcPr>
          <w:p w14:paraId="69A96C4E" w14:textId="243C80D9" w:rsidR="00795C64" w:rsidRDefault="00911196">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O</w:t>
            </w:r>
          </w:p>
        </w:tc>
      </w:tr>
    </w:tbl>
    <w:p w14:paraId="38322B60" w14:textId="77777777" w:rsidR="00795C64" w:rsidRDefault="00403C47">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403C47">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2"/>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334"/>
        <w:gridCol w:w="1642"/>
        <w:gridCol w:w="566"/>
        <w:gridCol w:w="2539"/>
        <w:gridCol w:w="753"/>
      </w:tblGrid>
      <w:tr w:rsidR="00795C64" w14:paraId="47DD8B05" w14:textId="77777777">
        <w:trPr>
          <w:trHeight w:val="292"/>
          <w:jc w:val="center"/>
        </w:trPr>
        <w:tc>
          <w:tcPr>
            <w:tcW w:w="3635" w:type="dxa"/>
          </w:tcPr>
          <w:p w14:paraId="3DDE243B" w14:textId="77777777" w:rsidR="00795C64" w:rsidRDefault="00403C47">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08100386" w:rsidR="00795C64" w:rsidRPr="00D95E5E" w:rsidRDefault="00D95E5E">
            <w:pPr>
              <w:pBdr>
                <w:top w:val="nil"/>
                <w:left w:val="nil"/>
                <w:bottom w:val="nil"/>
                <w:right w:val="nil"/>
                <w:between w:val="nil"/>
              </w:pBdr>
              <w:spacing w:before="1"/>
              <w:ind w:left="297"/>
              <w:rPr>
                <w:bCs/>
                <w:color w:val="000000"/>
              </w:rPr>
            </w:pPr>
            <w:r w:rsidRPr="00D95E5E">
              <w:rPr>
                <w:bCs/>
                <w:color w:val="000000"/>
              </w:rPr>
              <w:t>4</w:t>
            </w:r>
          </w:p>
        </w:tc>
        <w:tc>
          <w:tcPr>
            <w:tcW w:w="1976" w:type="dxa"/>
            <w:gridSpan w:val="2"/>
          </w:tcPr>
          <w:p w14:paraId="17CFFC0A" w14:textId="77777777" w:rsidR="00795C64" w:rsidRDefault="00403C47">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6963DD21" w:rsidR="00795C64" w:rsidRPr="00D95E5E" w:rsidRDefault="00D95E5E">
            <w:pPr>
              <w:pBdr>
                <w:top w:val="nil"/>
                <w:left w:val="nil"/>
                <w:bottom w:val="nil"/>
                <w:right w:val="nil"/>
                <w:between w:val="nil"/>
              </w:pBdr>
              <w:spacing w:before="1"/>
              <w:ind w:left="7"/>
              <w:jc w:val="center"/>
              <w:rPr>
                <w:bCs/>
                <w:color w:val="000000"/>
              </w:rPr>
            </w:pPr>
            <w:r w:rsidRPr="00D95E5E">
              <w:rPr>
                <w:bCs/>
                <w:color w:val="000000"/>
              </w:rPr>
              <w:t>2</w:t>
            </w:r>
          </w:p>
        </w:tc>
        <w:tc>
          <w:tcPr>
            <w:tcW w:w="2539" w:type="dxa"/>
          </w:tcPr>
          <w:p w14:paraId="4F3E1A2B" w14:textId="05369DEF" w:rsidR="00795C64" w:rsidRDefault="00403C47">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3" w:type="dxa"/>
          </w:tcPr>
          <w:p w14:paraId="1C7ECF25" w14:textId="372736B2" w:rsidR="00795C64" w:rsidRPr="00D95E5E" w:rsidRDefault="00D95E5E">
            <w:pPr>
              <w:pBdr>
                <w:top w:val="nil"/>
                <w:left w:val="nil"/>
                <w:bottom w:val="nil"/>
                <w:right w:val="nil"/>
                <w:between w:val="nil"/>
              </w:pBdr>
              <w:spacing w:before="1"/>
              <w:ind w:left="63"/>
              <w:jc w:val="center"/>
              <w:rPr>
                <w:bCs/>
                <w:color w:val="000000"/>
              </w:rPr>
            </w:pPr>
            <w:r w:rsidRPr="00D95E5E">
              <w:rPr>
                <w:bCs/>
                <w:color w:val="000000"/>
              </w:rPr>
              <w:t>2</w:t>
            </w:r>
          </w:p>
        </w:tc>
      </w:tr>
      <w:tr w:rsidR="00795C64" w14:paraId="674553EC" w14:textId="77777777">
        <w:trPr>
          <w:trHeight w:val="290"/>
          <w:jc w:val="center"/>
        </w:trPr>
        <w:tc>
          <w:tcPr>
            <w:tcW w:w="3635" w:type="dxa"/>
          </w:tcPr>
          <w:p w14:paraId="192B0AB9" w14:textId="77777777" w:rsidR="00795C64" w:rsidRDefault="00403C47">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6691D05E" w:rsidR="00795C64" w:rsidRPr="00CB3930" w:rsidRDefault="00CB3930">
            <w:pPr>
              <w:pBdr>
                <w:top w:val="nil"/>
                <w:left w:val="nil"/>
                <w:bottom w:val="nil"/>
                <w:right w:val="nil"/>
                <w:between w:val="nil"/>
              </w:pBdr>
              <w:spacing w:line="251" w:lineRule="auto"/>
              <w:ind w:left="270"/>
              <w:rPr>
                <w:bCs/>
                <w:color w:val="000000"/>
              </w:rPr>
            </w:pPr>
            <w:r w:rsidRPr="00CB3930">
              <w:rPr>
                <w:bCs/>
                <w:color w:val="000000"/>
              </w:rPr>
              <w:t>56</w:t>
            </w:r>
          </w:p>
        </w:tc>
        <w:tc>
          <w:tcPr>
            <w:tcW w:w="1976" w:type="dxa"/>
            <w:gridSpan w:val="2"/>
          </w:tcPr>
          <w:p w14:paraId="780E011D" w14:textId="77777777" w:rsidR="00795C64" w:rsidRDefault="00403C47">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547BC7D2" w:rsidR="00795C64" w:rsidRPr="00CB3930" w:rsidRDefault="00CB3930">
            <w:pPr>
              <w:pBdr>
                <w:top w:val="nil"/>
                <w:left w:val="nil"/>
                <w:bottom w:val="nil"/>
                <w:right w:val="nil"/>
                <w:between w:val="nil"/>
              </w:pBdr>
              <w:spacing w:line="251" w:lineRule="auto"/>
              <w:ind w:left="151" w:right="144"/>
              <w:jc w:val="center"/>
              <w:rPr>
                <w:bCs/>
                <w:color w:val="000000"/>
              </w:rPr>
            </w:pPr>
            <w:r w:rsidRPr="00CB3930">
              <w:rPr>
                <w:bCs/>
                <w:color w:val="000000"/>
              </w:rPr>
              <w:t>28</w:t>
            </w:r>
          </w:p>
        </w:tc>
        <w:tc>
          <w:tcPr>
            <w:tcW w:w="2539" w:type="dxa"/>
          </w:tcPr>
          <w:p w14:paraId="5B928D38" w14:textId="106E433B" w:rsidR="00795C64" w:rsidRDefault="00403C47">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3" w:type="dxa"/>
          </w:tcPr>
          <w:p w14:paraId="20408BF1" w14:textId="3EEA9E3B" w:rsidR="00795C64" w:rsidRPr="00CB3930" w:rsidRDefault="00CB3930">
            <w:pPr>
              <w:pBdr>
                <w:top w:val="nil"/>
                <w:left w:val="nil"/>
                <w:bottom w:val="nil"/>
                <w:right w:val="nil"/>
                <w:between w:val="nil"/>
              </w:pBdr>
              <w:spacing w:line="251" w:lineRule="auto"/>
              <w:ind w:left="88" w:right="25"/>
              <w:jc w:val="center"/>
              <w:rPr>
                <w:bCs/>
                <w:color w:val="000000"/>
              </w:rPr>
            </w:pPr>
            <w:r w:rsidRPr="00CB3930">
              <w:rPr>
                <w:bCs/>
                <w:color w:val="000000"/>
              </w:rPr>
              <w:t>28</w:t>
            </w:r>
          </w:p>
        </w:tc>
      </w:tr>
      <w:tr w:rsidR="00795C64" w14:paraId="76528E47" w14:textId="77777777">
        <w:trPr>
          <w:trHeight w:val="292"/>
          <w:jc w:val="center"/>
        </w:trPr>
        <w:tc>
          <w:tcPr>
            <w:tcW w:w="9422" w:type="dxa"/>
            <w:gridSpan w:val="6"/>
          </w:tcPr>
          <w:p w14:paraId="69B1677D" w14:textId="77777777" w:rsidR="00795C64" w:rsidRDefault="00403C47">
            <w:pPr>
              <w:pBdr>
                <w:top w:val="nil"/>
                <w:left w:val="nil"/>
                <w:bottom w:val="nil"/>
                <w:right w:val="nil"/>
                <w:between w:val="nil"/>
              </w:pBdr>
              <w:spacing w:line="251" w:lineRule="auto"/>
              <w:ind w:left="110"/>
              <w:rPr>
                <w:b/>
                <w:color w:val="000000"/>
              </w:rPr>
            </w:pPr>
            <w:r>
              <w:rPr>
                <w:b/>
                <w:color w:val="000000"/>
              </w:rPr>
              <w:t>Distribution of time:</w:t>
            </w:r>
          </w:p>
        </w:tc>
        <w:tc>
          <w:tcPr>
            <w:tcW w:w="753" w:type="dxa"/>
          </w:tcPr>
          <w:p w14:paraId="55DC0FAF" w14:textId="77777777" w:rsidR="00795C64" w:rsidRDefault="00403C47">
            <w:pPr>
              <w:pBdr>
                <w:top w:val="nil"/>
                <w:left w:val="nil"/>
                <w:bottom w:val="nil"/>
                <w:right w:val="nil"/>
                <w:between w:val="nil"/>
              </w:pBdr>
              <w:spacing w:line="251" w:lineRule="auto"/>
              <w:ind w:left="88" w:right="77"/>
              <w:jc w:val="center"/>
              <w:rPr>
                <w:b/>
                <w:color w:val="000000"/>
              </w:rPr>
            </w:pPr>
            <w:r>
              <w:rPr>
                <w:b/>
                <w:color w:val="000000"/>
              </w:rPr>
              <w:t>hours</w:t>
            </w:r>
          </w:p>
        </w:tc>
      </w:tr>
      <w:tr w:rsidR="00795C64" w14:paraId="3A7A70D5" w14:textId="77777777">
        <w:trPr>
          <w:trHeight w:val="290"/>
          <w:jc w:val="center"/>
        </w:trPr>
        <w:tc>
          <w:tcPr>
            <w:tcW w:w="9422" w:type="dxa"/>
            <w:gridSpan w:val="6"/>
          </w:tcPr>
          <w:p w14:paraId="58293499" w14:textId="77777777" w:rsidR="00795C64" w:rsidRDefault="00403C47">
            <w:pPr>
              <w:pBdr>
                <w:top w:val="nil"/>
                <w:left w:val="nil"/>
                <w:bottom w:val="nil"/>
                <w:right w:val="nil"/>
                <w:between w:val="nil"/>
              </w:pBdr>
              <w:spacing w:line="246" w:lineRule="auto"/>
              <w:ind w:left="110"/>
              <w:rPr>
                <w:color w:val="000000"/>
              </w:rPr>
            </w:pPr>
            <w:r>
              <w:rPr>
                <w:color w:val="000000"/>
              </w:rPr>
              <w:t>Study based on Instructions, course materials, bibliography and notes</w:t>
            </w:r>
          </w:p>
        </w:tc>
        <w:tc>
          <w:tcPr>
            <w:tcW w:w="753" w:type="dxa"/>
          </w:tcPr>
          <w:p w14:paraId="3FD3C6B2" w14:textId="36389713" w:rsidR="00795C64" w:rsidRPr="001472E7" w:rsidRDefault="00304691">
            <w:pPr>
              <w:pBdr>
                <w:top w:val="nil"/>
                <w:left w:val="nil"/>
                <w:bottom w:val="nil"/>
                <w:right w:val="nil"/>
                <w:between w:val="nil"/>
              </w:pBdr>
              <w:spacing w:line="251" w:lineRule="auto"/>
              <w:ind w:left="87" w:right="77"/>
              <w:jc w:val="center"/>
              <w:rPr>
                <w:bCs/>
                <w:color w:val="000000"/>
              </w:rPr>
            </w:pPr>
            <w:r>
              <w:rPr>
                <w:bCs/>
                <w:color w:val="000000"/>
              </w:rPr>
              <w:t>20</w:t>
            </w:r>
          </w:p>
        </w:tc>
      </w:tr>
      <w:tr w:rsidR="00795C64" w14:paraId="164DF030" w14:textId="77777777">
        <w:trPr>
          <w:trHeight w:val="290"/>
          <w:jc w:val="center"/>
        </w:trPr>
        <w:tc>
          <w:tcPr>
            <w:tcW w:w="9422" w:type="dxa"/>
            <w:gridSpan w:val="6"/>
          </w:tcPr>
          <w:p w14:paraId="064770E0" w14:textId="77777777" w:rsidR="00795C64" w:rsidRDefault="00403C47">
            <w:pPr>
              <w:pBdr>
                <w:top w:val="nil"/>
                <w:left w:val="nil"/>
                <w:bottom w:val="nil"/>
                <w:right w:val="nil"/>
                <w:between w:val="nil"/>
              </w:pBdr>
              <w:spacing w:line="246" w:lineRule="auto"/>
              <w:ind w:left="110"/>
              <w:rPr>
                <w:color w:val="000000"/>
              </w:rPr>
            </w:pPr>
            <w:r>
              <w:rPr>
                <w:color w:val="000000"/>
              </w:rPr>
              <w:t>Additional documentation library, specialized electronic platforms / field</w:t>
            </w:r>
          </w:p>
        </w:tc>
        <w:tc>
          <w:tcPr>
            <w:tcW w:w="753" w:type="dxa"/>
          </w:tcPr>
          <w:p w14:paraId="7DC1FE83" w14:textId="1D1B1A01" w:rsidR="00795C64" w:rsidRPr="001472E7" w:rsidRDefault="00304691" w:rsidP="0013109B">
            <w:pPr>
              <w:pBdr>
                <w:top w:val="nil"/>
                <w:left w:val="nil"/>
                <w:bottom w:val="nil"/>
                <w:right w:val="nil"/>
                <w:between w:val="nil"/>
              </w:pBdr>
              <w:spacing w:line="251" w:lineRule="auto"/>
              <w:ind w:left="87" w:right="77"/>
              <w:jc w:val="center"/>
              <w:rPr>
                <w:bCs/>
                <w:color w:val="000000"/>
              </w:rPr>
            </w:pPr>
            <w:r>
              <w:rPr>
                <w:bCs/>
                <w:color w:val="000000"/>
              </w:rPr>
              <w:t>2</w:t>
            </w:r>
            <w:r w:rsidR="00840846" w:rsidRPr="001472E7">
              <w:rPr>
                <w:bCs/>
                <w:color w:val="000000"/>
              </w:rPr>
              <w:t>6</w:t>
            </w:r>
          </w:p>
        </w:tc>
      </w:tr>
      <w:tr w:rsidR="00795C64" w14:paraId="12C3DB2B" w14:textId="77777777">
        <w:trPr>
          <w:trHeight w:val="292"/>
          <w:jc w:val="center"/>
        </w:trPr>
        <w:tc>
          <w:tcPr>
            <w:tcW w:w="9422" w:type="dxa"/>
            <w:gridSpan w:val="6"/>
          </w:tcPr>
          <w:p w14:paraId="47041A02" w14:textId="77777777" w:rsidR="00795C64" w:rsidRDefault="00403C47">
            <w:pPr>
              <w:pBdr>
                <w:top w:val="nil"/>
                <w:left w:val="nil"/>
                <w:bottom w:val="nil"/>
                <w:right w:val="nil"/>
                <w:between w:val="nil"/>
              </w:pBdr>
              <w:spacing w:line="249" w:lineRule="auto"/>
              <w:ind w:left="110"/>
              <w:rPr>
                <w:color w:val="000000"/>
              </w:rPr>
            </w:pPr>
            <w:r>
              <w:rPr>
                <w:color w:val="000000"/>
              </w:rPr>
              <w:t>Training seminars / laboratories, homework, essays, portfolios and essays</w:t>
            </w:r>
          </w:p>
        </w:tc>
        <w:tc>
          <w:tcPr>
            <w:tcW w:w="753" w:type="dxa"/>
          </w:tcPr>
          <w:p w14:paraId="03669DE4" w14:textId="4CF39E46" w:rsidR="00795C64" w:rsidRPr="001472E7" w:rsidRDefault="00304691">
            <w:pPr>
              <w:pBdr>
                <w:top w:val="nil"/>
                <w:left w:val="nil"/>
                <w:bottom w:val="nil"/>
                <w:right w:val="nil"/>
                <w:between w:val="nil"/>
              </w:pBdr>
              <w:spacing w:before="1"/>
              <w:ind w:left="87" w:right="77"/>
              <w:jc w:val="center"/>
              <w:rPr>
                <w:bCs/>
                <w:color w:val="000000"/>
              </w:rPr>
            </w:pPr>
            <w:r>
              <w:rPr>
                <w:bCs/>
                <w:color w:val="000000"/>
              </w:rPr>
              <w:t>2</w:t>
            </w:r>
            <w:r w:rsidR="00840846" w:rsidRPr="001472E7">
              <w:rPr>
                <w:bCs/>
                <w:color w:val="000000"/>
              </w:rPr>
              <w:t>6</w:t>
            </w:r>
          </w:p>
        </w:tc>
      </w:tr>
      <w:tr w:rsidR="00795C64" w14:paraId="77B4EF59" w14:textId="77777777">
        <w:trPr>
          <w:trHeight w:val="290"/>
          <w:jc w:val="center"/>
        </w:trPr>
        <w:tc>
          <w:tcPr>
            <w:tcW w:w="9422" w:type="dxa"/>
            <w:gridSpan w:val="6"/>
          </w:tcPr>
          <w:p w14:paraId="7EBBC1F4" w14:textId="77777777" w:rsidR="00795C64" w:rsidRDefault="00403C47">
            <w:pPr>
              <w:pBdr>
                <w:top w:val="nil"/>
                <w:left w:val="nil"/>
                <w:bottom w:val="nil"/>
                <w:right w:val="nil"/>
                <w:between w:val="nil"/>
              </w:pBdr>
              <w:spacing w:line="246" w:lineRule="auto"/>
              <w:ind w:left="110"/>
              <w:rPr>
                <w:color w:val="000000"/>
              </w:rPr>
            </w:pPr>
            <w:r>
              <w:rPr>
                <w:color w:val="000000"/>
              </w:rPr>
              <w:t>Tutoring</w:t>
            </w:r>
          </w:p>
        </w:tc>
        <w:tc>
          <w:tcPr>
            <w:tcW w:w="753" w:type="dxa"/>
          </w:tcPr>
          <w:p w14:paraId="040CBCD5" w14:textId="6D734491" w:rsidR="00795C64" w:rsidRPr="001472E7" w:rsidRDefault="00D20ADB">
            <w:pPr>
              <w:pBdr>
                <w:top w:val="nil"/>
                <w:left w:val="nil"/>
                <w:bottom w:val="nil"/>
                <w:right w:val="nil"/>
                <w:between w:val="nil"/>
              </w:pBdr>
              <w:spacing w:line="251" w:lineRule="auto"/>
              <w:ind w:left="10"/>
              <w:jc w:val="center"/>
              <w:rPr>
                <w:bCs/>
                <w:color w:val="000000"/>
              </w:rPr>
            </w:pPr>
            <w:r w:rsidRPr="001472E7">
              <w:rPr>
                <w:bCs/>
                <w:color w:val="000000"/>
              </w:rPr>
              <w:t>20</w:t>
            </w:r>
          </w:p>
        </w:tc>
      </w:tr>
      <w:tr w:rsidR="00795C64" w14:paraId="2094B61F" w14:textId="77777777">
        <w:trPr>
          <w:trHeight w:val="292"/>
          <w:jc w:val="center"/>
        </w:trPr>
        <w:tc>
          <w:tcPr>
            <w:tcW w:w="9422" w:type="dxa"/>
            <w:gridSpan w:val="6"/>
          </w:tcPr>
          <w:p w14:paraId="734F1D78" w14:textId="5E2C5132" w:rsidR="00795C64" w:rsidRDefault="00403C47">
            <w:pPr>
              <w:pBdr>
                <w:top w:val="nil"/>
                <w:left w:val="nil"/>
                <w:bottom w:val="nil"/>
                <w:right w:val="nil"/>
                <w:between w:val="nil"/>
              </w:pBdr>
              <w:spacing w:line="246" w:lineRule="auto"/>
              <w:ind w:left="110"/>
              <w:rPr>
                <w:color w:val="000000"/>
              </w:rPr>
            </w:pPr>
            <w:r>
              <w:rPr>
                <w:color w:val="000000"/>
              </w:rPr>
              <w:t>Examinations</w:t>
            </w:r>
            <w:r w:rsidR="0050217E">
              <w:rPr>
                <w:rStyle w:val="FootnoteReference"/>
                <w:color w:val="000000"/>
              </w:rPr>
              <w:footnoteReference w:id="3"/>
            </w:r>
          </w:p>
        </w:tc>
        <w:tc>
          <w:tcPr>
            <w:tcW w:w="753" w:type="dxa"/>
          </w:tcPr>
          <w:p w14:paraId="3D2A7343" w14:textId="121C30EA" w:rsidR="00795C64" w:rsidRPr="001472E7" w:rsidRDefault="00D20ADB">
            <w:pPr>
              <w:pBdr>
                <w:top w:val="nil"/>
                <w:left w:val="nil"/>
                <w:bottom w:val="nil"/>
                <w:right w:val="nil"/>
                <w:between w:val="nil"/>
              </w:pBdr>
              <w:spacing w:line="252" w:lineRule="auto"/>
              <w:ind w:left="10"/>
              <w:jc w:val="center"/>
              <w:rPr>
                <w:bCs/>
                <w:color w:val="000000"/>
              </w:rPr>
            </w:pPr>
            <w:r w:rsidRPr="001472E7">
              <w:rPr>
                <w:bCs/>
                <w:color w:val="000000"/>
              </w:rPr>
              <w:t>2</w:t>
            </w:r>
          </w:p>
        </w:tc>
      </w:tr>
      <w:tr w:rsidR="00795C64" w14:paraId="3F40411A" w14:textId="77777777">
        <w:trPr>
          <w:trHeight w:val="292"/>
          <w:jc w:val="center"/>
        </w:trPr>
        <w:tc>
          <w:tcPr>
            <w:tcW w:w="9422" w:type="dxa"/>
            <w:gridSpan w:val="6"/>
          </w:tcPr>
          <w:p w14:paraId="041B8281" w14:textId="77777777" w:rsidR="00795C64" w:rsidRDefault="00403C47">
            <w:pPr>
              <w:pBdr>
                <w:top w:val="nil"/>
                <w:left w:val="nil"/>
                <w:bottom w:val="nil"/>
                <w:right w:val="nil"/>
                <w:between w:val="nil"/>
              </w:pBdr>
              <w:spacing w:line="246" w:lineRule="auto"/>
              <w:ind w:left="110"/>
              <w:rPr>
                <w:color w:val="000000"/>
              </w:rPr>
            </w:pPr>
            <w:r>
              <w:rPr>
                <w:color w:val="000000"/>
              </w:rPr>
              <w:t>Other activities</w:t>
            </w:r>
          </w:p>
        </w:tc>
        <w:tc>
          <w:tcPr>
            <w:tcW w:w="753" w:type="dxa"/>
          </w:tcPr>
          <w:p w14:paraId="2E6A4E07" w14:textId="77777777" w:rsidR="00795C64" w:rsidRDefault="00795C64">
            <w:pPr>
              <w:pBdr>
                <w:top w:val="nil"/>
                <w:left w:val="nil"/>
                <w:bottom w:val="nil"/>
                <w:right w:val="nil"/>
                <w:between w:val="nil"/>
              </w:pBdr>
              <w:spacing w:line="252" w:lineRule="auto"/>
              <w:ind w:left="10"/>
              <w:jc w:val="center"/>
              <w:rPr>
                <w:b/>
                <w:color w:val="000000"/>
              </w:rPr>
            </w:pPr>
          </w:p>
        </w:tc>
      </w:tr>
      <w:tr w:rsidR="00795C64" w14:paraId="2AE608F4" w14:textId="77777777" w:rsidTr="00CE0087">
        <w:trPr>
          <w:trHeight w:val="290"/>
          <w:jc w:val="center"/>
        </w:trPr>
        <w:tc>
          <w:tcPr>
            <w:tcW w:w="3635" w:type="dxa"/>
          </w:tcPr>
          <w:p w14:paraId="1F0E6521" w14:textId="77777777" w:rsidR="00795C64" w:rsidRDefault="00403C47">
            <w:pPr>
              <w:pBdr>
                <w:top w:val="nil"/>
                <w:left w:val="nil"/>
                <w:bottom w:val="nil"/>
                <w:right w:val="nil"/>
                <w:between w:val="nil"/>
              </w:pBdr>
              <w:spacing w:line="251" w:lineRule="auto"/>
              <w:ind w:left="110"/>
              <w:rPr>
                <w:b/>
                <w:color w:val="000000"/>
              </w:rPr>
            </w:pPr>
            <w:r>
              <w:rPr>
                <w:b/>
                <w:color w:val="000000"/>
              </w:rPr>
              <w:t>3.7 Total hours of individual study</w:t>
            </w:r>
          </w:p>
        </w:tc>
        <w:tc>
          <w:tcPr>
            <w:tcW w:w="1040" w:type="dxa"/>
            <w:gridSpan w:val="2"/>
          </w:tcPr>
          <w:p w14:paraId="064A5EEF" w14:textId="455DF8C7" w:rsidR="00795C64" w:rsidRDefault="00304691" w:rsidP="00CE0087">
            <w:pPr>
              <w:pBdr>
                <w:top w:val="nil"/>
                <w:left w:val="nil"/>
                <w:bottom w:val="nil"/>
                <w:right w:val="nil"/>
                <w:between w:val="nil"/>
              </w:pBdr>
              <w:spacing w:line="251" w:lineRule="auto"/>
              <w:ind w:left="291" w:right="286"/>
              <w:rPr>
                <w:b/>
                <w:color w:val="000000"/>
              </w:rPr>
            </w:pPr>
            <w:r>
              <w:rPr>
                <w:b/>
                <w:color w:val="000000"/>
              </w:rPr>
              <w:t>92</w:t>
            </w:r>
          </w:p>
        </w:tc>
        <w:tc>
          <w:tcPr>
            <w:tcW w:w="5500" w:type="dxa"/>
            <w:gridSpan w:val="4"/>
            <w:vMerge w:val="restart"/>
            <w:tcBorders>
              <w:bottom w:val="nil"/>
              <w:right w:val="nil"/>
            </w:tcBorders>
          </w:tcPr>
          <w:p w14:paraId="6E28B649" w14:textId="77777777" w:rsidR="00795C64" w:rsidRDefault="00795C64">
            <w:pPr>
              <w:pBdr>
                <w:top w:val="nil"/>
                <w:left w:val="nil"/>
                <w:bottom w:val="nil"/>
                <w:right w:val="nil"/>
                <w:between w:val="nil"/>
              </w:pBdr>
              <w:rPr>
                <w:color w:val="000000"/>
              </w:rPr>
            </w:pPr>
          </w:p>
        </w:tc>
      </w:tr>
      <w:tr w:rsidR="00795C64" w14:paraId="4351FB52" w14:textId="77777777" w:rsidTr="00CE0087">
        <w:trPr>
          <w:trHeight w:val="290"/>
          <w:jc w:val="center"/>
        </w:trPr>
        <w:tc>
          <w:tcPr>
            <w:tcW w:w="3635" w:type="dxa"/>
          </w:tcPr>
          <w:p w14:paraId="55F24AD6" w14:textId="69498044" w:rsidR="00795C64" w:rsidRDefault="00403C47">
            <w:pPr>
              <w:pBdr>
                <w:top w:val="nil"/>
                <w:left w:val="nil"/>
                <w:bottom w:val="nil"/>
                <w:right w:val="nil"/>
                <w:between w:val="nil"/>
              </w:pBdr>
              <w:spacing w:line="251" w:lineRule="auto"/>
              <w:ind w:left="110"/>
              <w:rPr>
                <w:b/>
                <w:color w:val="000000"/>
              </w:rPr>
            </w:pPr>
            <w:r>
              <w:rPr>
                <w:b/>
                <w:color w:val="000000"/>
              </w:rPr>
              <w:t>3.8 Total hours per semester</w:t>
            </w:r>
            <w:r w:rsidR="0050217E">
              <w:rPr>
                <w:rStyle w:val="FootnoteReference"/>
                <w:b/>
                <w:color w:val="000000"/>
              </w:rPr>
              <w:footnoteReference w:id="4"/>
            </w:r>
          </w:p>
        </w:tc>
        <w:tc>
          <w:tcPr>
            <w:tcW w:w="1040" w:type="dxa"/>
            <w:gridSpan w:val="2"/>
          </w:tcPr>
          <w:p w14:paraId="4B2DD78C" w14:textId="2FDFB51F" w:rsidR="00795C64" w:rsidRDefault="00304691">
            <w:pPr>
              <w:pBdr>
                <w:top w:val="nil"/>
                <w:left w:val="nil"/>
                <w:bottom w:val="nil"/>
                <w:right w:val="nil"/>
                <w:between w:val="nil"/>
              </w:pBdr>
              <w:spacing w:line="251" w:lineRule="auto"/>
              <w:ind w:left="256"/>
              <w:rPr>
                <w:b/>
                <w:color w:val="000000"/>
              </w:rPr>
            </w:pPr>
            <w:r>
              <w:rPr>
                <w:b/>
                <w:color w:val="000000"/>
              </w:rPr>
              <w:t>150</w:t>
            </w:r>
          </w:p>
        </w:tc>
        <w:tc>
          <w:tcPr>
            <w:tcW w:w="5500" w:type="dxa"/>
            <w:gridSpan w:val="4"/>
            <w:vMerge/>
            <w:tcBorders>
              <w:bottom w:val="nil"/>
              <w:right w:val="nil"/>
            </w:tcBorders>
          </w:tcPr>
          <w:p w14:paraId="38B2ED9A" w14:textId="77777777" w:rsidR="00795C64" w:rsidRDefault="00795C64">
            <w:pPr>
              <w:pBdr>
                <w:top w:val="nil"/>
                <w:left w:val="nil"/>
                <w:bottom w:val="nil"/>
                <w:right w:val="nil"/>
                <w:between w:val="nil"/>
              </w:pBdr>
              <w:spacing w:line="276" w:lineRule="auto"/>
              <w:rPr>
                <w:b/>
                <w:color w:val="000000"/>
              </w:rPr>
            </w:pPr>
          </w:p>
        </w:tc>
      </w:tr>
      <w:tr w:rsidR="00795C64" w14:paraId="36860057" w14:textId="77777777" w:rsidTr="00CE0087">
        <w:trPr>
          <w:trHeight w:val="292"/>
          <w:jc w:val="center"/>
        </w:trPr>
        <w:tc>
          <w:tcPr>
            <w:tcW w:w="3635" w:type="dxa"/>
          </w:tcPr>
          <w:p w14:paraId="3B23527B" w14:textId="77777777" w:rsidR="00795C64" w:rsidRDefault="00403C47">
            <w:pPr>
              <w:pBdr>
                <w:top w:val="nil"/>
                <w:left w:val="nil"/>
                <w:bottom w:val="nil"/>
                <w:right w:val="nil"/>
                <w:between w:val="nil"/>
              </w:pBdr>
              <w:spacing w:line="251" w:lineRule="auto"/>
              <w:ind w:left="110"/>
              <w:rPr>
                <w:b/>
                <w:color w:val="000000"/>
              </w:rPr>
            </w:pPr>
            <w:r>
              <w:rPr>
                <w:b/>
                <w:color w:val="000000"/>
              </w:rPr>
              <w:t>3.9 Number of credits</w:t>
            </w:r>
          </w:p>
        </w:tc>
        <w:tc>
          <w:tcPr>
            <w:tcW w:w="1040" w:type="dxa"/>
            <w:gridSpan w:val="2"/>
          </w:tcPr>
          <w:p w14:paraId="551FFC6B" w14:textId="13A628C0" w:rsidR="00795C64" w:rsidRDefault="005B7490">
            <w:pPr>
              <w:pBdr>
                <w:top w:val="nil"/>
                <w:left w:val="nil"/>
                <w:bottom w:val="nil"/>
                <w:right w:val="nil"/>
                <w:between w:val="nil"/>
              </w:pBdr>
              <w:spacing w:line="251" w:lineRule="auto"/>
              <w:ind w:left="5"/>
              <w:jc w:val="center"/>
              <w:rPr>
                <w:b/>
                <w:color w:val="000000"/>
              </w:rPr>
            </w:pPr>
            <w:r>
              <w:rPr>
                <w:b/>
                <w:color w:val="000000"/>
              </w:rPr>
              <w:t>6</w:t>
            </w:r>
          </w:p>
        </w:tc>
        <w:tc>
          <w:tcPr>
            <w:tcW w:w="5500"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403C47">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77777777" w:rsidR="00795C64" w:rsidRDefault="00403C47">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lastRenderedPageBreak/>
              <w:t>4.1 of curriculum</w:t>
            </w:r>
          </w:p>
        </w:tc>
        <w:tc>
          <w:tcPr>
            <w:tcW w:w="8222" w:type="dxa"/>
          </w:tcPr>
          <w:p w14:paraId="1DB649C5" w14:textId="560A685F" w:rsidR="00795C64" w:rsidRDefault="003425ED" w:rsidP="003425ED">
            <w:pPr>
              <w:pBdr>
                <w:top w:val="nil"/>
                <w:left w:val="nil"/>
                <w:bottom w:val="nil"/>
                <w:right w:val="nil"/>
                <w:between w:val="nil"/>
              </w:pBdr>
              <w:rPr>
                <w:rFonts w:ascii="Calibri" w:eastAsia="Calibri" w:hAnsi="Calibri" w:cs="Calibri"/>
                <w:color w:val="000000"/>
              </w:rPr>
            </w:pPr>
            <w:r w:rsidRPr="003425ED">
              <w:rPr>
                <w:rFonts w:ascii="Calibri" w:eastAsia="Calibri" w:hAnsi="Calibri" w:cs="Calibri"/>
                <w:color w:val="000000"/>
              </w:rPr>
              <w:t xml:space="preserve">Graduation of courses in Introduction in </w:t>
            </w:r>
            <w:r w:rsidRPr="003425ED">
              <w:rPr>
                <w:rFonts w:ascii="Calibri" w:eastAsia="Calibri" w:hAnsi="Calibri" w:cs="Calibri"/>
                <w:i/>
                <w:iCs/>
                <w:color w:val="000000"/>
              </w:rPr>
              <w:t xml:space="preserve">Neuroscience, Introduction in Cognitive Sciences, Cognitive Psychology, Psychological Assessment I, Learning and </w:t>
            </w:r>
            <w:proofErr w:type="spellStart"/>
            <w:r w:rsidRPr="003425ED">
              <w:rPr>
                <w:rFonts w:ascii="Calibri" w:eastAsia="Calibri" w:hAnsi="Calibri" w:cs="Calibri"/>
                <w:i/>
                <w:iCs/>
                <w:color w:val="000000"/>
              </w:rPr>
              <w:t>behavior</w:t>
            </w:r>
            <w:proofErr w:type="spellEnd"/>
            <w:r w:rsidRPr="003425ED">
              <w:rPr>
                <w:rFonts w:ascii="Calibri" w:eastAsia="Calibri" w:hAnsi="Calibri" w:cs="Calibri"/>
                <w:i/>
                <w:iCs/>
                <w:color w:val="000000"/>
              </w:rPr>
              <w:t xml:space="preserve"> modification, Introduction in clinical cognitive sciences</w:t>
            </w:r>
            <w:r w:rsidRPr="003425ED">
              <w:rPr>
                <w:rFonts w:ascii="Calibri" w:eastAsia="Calibri" w:hAnsi="Calibri" w:cs="Calibri"/>
                <w:color w:val="000000"/>
              </w:rPr>
              <w:tab/>
            </w:r>
          </w:p>
        </w:tc>
      </w:tr>
      <w:tr w:rsidR="00795C64" w14:paraId="55C484FC" w14:textId="77777777">
        <w:trPr>
          <w:jc w:val="center"/>
        </w:trPr>
        <w:tc>
          <w:tcPr>
            <w:tcW w:w="1985" w:type="dxa"/>
          </w:tcPr>
          <w:p w14:paraId="1E60AC57" w14:textId="77777777" w:rsidR="00795C64" w:rsidRDefault="00403C47">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7DC04FDB" w14:textId="0A68B1E6" w:rsidR="00795C64" w:rsidRDefault="003425ED" w:rsidP="003425ED">
            <w:pPr>
              <w:pBdr>
                <w:top w:val="nil"/>
                <w:left w:val="nil"/>
                <w:bottom w:val="nil"/>
                <w:right w:val="nil"/>
                <w:between w:val="nil"/>
              </w:pBdr>
              <w:rPr>
                <w:rFonts w:ascii="Calibri" w:eastAsia="Calibri" w:hAnsi="Calibri" w:cs="Calibri"/>
                <w:color w:val="000000"/>
              </w:rPr>
            </w:pPr>
            <w:r w:rsidRPr="003425ED">
              <w:rPr>
                <w:rFonts w:ascii="Calibri" w:eastAsia="Calibri" w:hAnsi="Calibri" w:cs="Calibri"/>
                <w:color w:val="000000"/>
              </w:rPr>
              <w:t>None required</w:t>
            </w:r>
          </w:p>
        </w:tc>
      </w:tr>
    </w:tbl>
    <w:p w14:paraId="40C01E7F" w14:textId="77777777" w:rsidR="00AA5F3B" w:rsidRDefault="00AA5F3B">
      <w:pPr>
        <w:rPr>
          <w:rFonts w:ascii="Calibri" w:eastAsia="Calibri" w:hAnsi="Calibri" w:cs="Calibri"/>
          <w:sz w:val="20"/>
          <w:szCs w:val="20"/>
        </w:rPr>
      </w:pPr>
    </w:p>
    <w:p w14:paraId="6A74FEA6" w14:textId="77777777" w:rsidR="00795C64" w:rsidRDefault="00403C47">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403C47">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0CF1AD02" w14:textId="438AD35B" w:rsidR="00795C64" w:rsidRPr="001A6EE9" w:rsidRDefault="001A6EE9">
            <w:pPr>
              <w:pBdr>
                <w:top w:val="nil"/>
                <w:left w:val="nil"/>
                <w:bottom w:val="nil"/>
                <w:right w:val="nil"/>
                <w:between w:val="nil"/>
              </w:pBdr>
              <w:ind w:left="34"/>
              <w:rPr>
                <w:rFonts w:asciiTheme="minorHAnsi" w:eastAsia="Calibri" w:hAnsiTheme="minorHAnsi" w:cstheme="minorHAnsi"/>
                <w:color w:val="000000"/>
              </w:rPr>
            </w:pPr>
            <w:r w:rsidRPr="001A6EE9">
              <w:rPr>
                <w:rFonts w:asciiTheme="minorHAnsi" w:hAnsiTheme="minorHAnsi" w:cstheme="minorHAnsi"/>
              </w:rPr>
              <w:t>None required</w:t>
            </w:r>
          </w:p>
        </w:tc>
      </w:tr>
      <w:tr w:rsidR="00795C64" w14:paraId="3C887C74" w14:textId="77777777">
        <w:trPr>
          <w:trHeight w:val="79"/>
          <w:jc w:val="center"/>
        </w:trPr>
        <w:tc>
          <w:tcPr>
            <w:tcW w:w="3970" w:type="dxa"/>
            <w:vAlign w:val="center"/>
          </w:tcPr>
          <w:p w14:paraId="066FAFC1" w14:textId="77777777" w:rsidR="00795C64" w:rsidRDefault="00403C47">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for the seminar</w:t>
            </w:r>
          </w:p>
        </w:tc>
        <w:tc>
          <w:tcPr>
            <w:tcW w:w="6237" w:type="dxa"/>
            <w:vAlign w:val="center"/>
          </w:tcPr>
          <w:p w14:paraId="05B6452D" w14:textId="57541CB2" w:rsidR="00795C64" w:rsidRDefault="005C0510">
            <w:pPr>
              <w:pBdr>
                <w:top w:val="nil"/>
                <w:left w:val="nil"/>
                <w:bottom w:val="nil"/>
                <w:right w:val="nil"/>
                <w:between w:val="nil"/>
              </w:pBdr>
              <w:ind w:left="34"/>
              <w:rPr>
                <w:rFonts w:ascii="Calibri" w:eastAsia="Calibri" w:hAnsi="Calibri" w:cs="Calibri"/>
                <w:color w:val="000000"/>
              </w:rPr>
            </w:pPr>
            <w:r w:rsidRPr="005C0510">
              <w:rPr>
                <w:rFonts w:ascii="Calibri" w:eastAsia="Calibri" w:hAnsi="Calibri" w:cs="Calibri"/>
                <w:color w:val="000000"/>
              </w:rPr>
              <w:t>Attendance of at least 10 of 14 seminars is mandatory for taking the examination in the first session. For employed students, attending 7 out of 14 seminars is accepted on condition of providing a work certificate.</w:t>
            </w:r>
          </w:p>
        </w:tc>
      </w:tr>
    </w:tbl>
    <w:p w14:paraId="4A9F007C" w14:textId="77777777" w:rsidR="00795C64" w:rsidRDefault="00795C64">
      <w:pPr>
        <w:rPr>
          <w:rFonts w:ascii="Calibri" w:eastAsia="Calibri" w:hAnsi="Calibri" w:cs="Calibri"/>
        </w:rPr>
      </w:pPr>
    </w:p>
    <w:p w14:paraId="50E27F98" w14:textId="1E149F9A"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14:paraId="39CD9B40" w14:textId="77777777">
        <w:trPr>
          <w:cantSplit/>
          <w:trHeight w:val="827"/>
          <w:jc w:val="center"/>
        </w:trPr>
        <w:tc>
          <w:tcPr>
            <w:tcW w:w="1980" w:type="dxa"/>
            <w:vAlign w:val="center"/>
          </w:tcPr>
          <w:p w14:paraId="1C45CF4D" w14:textId="77777777" w:rsidR="00795C64" w:rsidRDefault="00403C47">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4E853A2B" w14:textId="19C50D97" w:rsidR="009505C4" w:rsidRDefault="009505C4" w:rsidP="009505C4">
            <w:pPr>
              <w:jc w:val="both"/>
              <w:rPr>
                <w:rFonts w:ascii="Calibri" w:eastAsia="Calibri" w:hAnsi="Calibri" w:cs="Calibri"/>
              </w:rPr>
            </w:pPr>
            <w:r w:rsidRPr="009505C4">
              <w:rPr>
                <w:rFonts w:ascii="Calibri" w:eastAsia="Calibri" w:hAnsi="Calibri" w:cs="Calibri"/>
              </w:rPr>
              <w:t>To understand relations between brain-mind-</w:t>
            </w:r>
            <w:proofErr w:type="spellStart"/>
            <w:r w:rsidRPr="009505C4">
              <w:rPr>
                <w:rFonts w:ascii="Calibri" w:eastAsia="Calibri" w:hAnsi="Calibri" w:cs="Calibri"/>
              </w:rPr>
              <w:t>behavior</w:t>
            </w:r>
            <w:proofErr w:type="spellEnd"/>
          </w:p>
          <w:p w14:paraId="45E6F5F6" w14:textId="20AE38B6" w:rsidR="00AD6FA5" w:rsidRPr="00AD6FA5" w:rsidRDefault="00AD6FA5" w:rsidP="00AD6FA5">
            <w:pPr>
              <w:jc w:val="both"/>
              <w:rPr>
                <w:rFonts w:ascii="Calibri" w:eastAsia="Calibri" w:hAnsi="Calibri" w:cs="Calibri"/>
              </w:rPr>
            </w:pPr>
            <w:r w:rsidRPr="00AD6FA5">
              <w:rPr>
                <w:rFonts w:ascii="Calibri" w:eastAsia="Calibri" w:hAnsi="Calibri" w:cs="Calibri"/>
              </w:rPr>
              <w:t xml:space="preserve">To become familiar with functional frameworks of </w:t>
            </w:r>
            <w:r>
              <w:rPr>
                <w:rFonts w:ascii="Calibri" w:eastAsia="Calibri" w:hAnsi="Calibri" w:cs="Calibri"/>
              </w:rPr>
              <w:t>neural</w:t>
            </w:r>
            <w:r w:rsidRPr="00AD6FA5">
              <w:rPr>
                <w:rFonts w:ascii="Calibri" w:eastAsia="Calibri" w:hAnsi="Calibri" w:cs="Calibri"/>
              </w:rPr>
              <w:t xml:space="preserve"> processes</w:t>
            </w:r>
          </w:p>
          <w:p w14:paraId="3D2E71B9" w14:textId="118DBDEA" w:rsidR="00795C64" w:rsidRDefault="009505C4" w:rsidP="009505C4">
            <w:pPr>
              <w:jc w:val="both"/>
              <w:rPr>
                <w:rFonts w:ascii="Calibri" w:eastAsia="Calibri" w:hAnsi="Calibri" w:cs="Calibri"/>
              </w:rPr>
            </w:pPr>
            <w:r w:rsidRPr="009505C4">
              <w:rPr>
                <w:rFonts w:ascii="Calibri" w:eastAsia="Calibri" w:hAnsi="Calibri" w:cs="Calibri"/>
              </w:rPr>
              <w:t>To demonstrate knowledge about psychological (</w:t>
            </w:r>
            <w:proofErr w:type="spellStart"/>
            <w:r w:rsidRPr="009505C4">
              <w:rPr>
                <w:rFonts w:ascii="Calibri" w:eastAsia="Calibri" w:hAnsi="Calibri" w:cs="Calibri"/>
              </w:rPr>
              <w:t>dys</w:t>
            </w:r>
            <w:proofErr w:type="spellEnd"/>
            <w:r w:rsidRPr="009505C4">
              <w:rPr>
                <w:rFonts w:ascii="Calibri" w:eastAsia="Calibri" w:hAnsi="Calibri" w:cs="Calibri"/>
              </w:rPr>
              <w:t>)functions and understand their neural correlates</w:t>
            </w:r>
          </w:p>
        </w:tc>
      </w:tr>
      <w:tr w:rsidR="00795C64" w14:paraId="430AAEDC" w14:textId="77777777">
        <w:trPr>
          <w:cantSplit/>
          <w:trHeight w:val="712"/>
          <w:jc w:val="center"/>
        </w:trPr>
        <w:tc>
          <w:tcPr>
            <w:tcW w:w="1980" w:type="dxa"/>
            <w:vAlign w:val="center"/>
          </w:tcPr>
          <w:p w14:paraId="1FC9C64F" w14:textId="77777777" w:rsidR="00795C64" w:rsidRDefault="00403C47">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Skills</w:t>
            </w:r>
          </w:p>
        </w:tc>
        <w:tc>
          <w:tcPr>
            <w:tcW w:w="8227" w:type="dxa"/>
            <w:vAlign w:val="center"/>
          </w:tcPr>
          <w:p w14:paraId="0682C232" w14:textId="6E87CD41" w:rsidR="009505C4" w:rsidRPr="009505C4" w:rsidRDefault="009505C4" w:rsidP="009505C4">
            <w:pPr>
              <w:jc w:val="both"/>
              <w:rPr>
                <w:rFonts w:ascii="Calibri" w:eastAsia="Calibri" w:hAnsi="Calibri" w:cs="Calibri"/>
              </w:rPr>
            </w:pPr>
            <w:r w:rsidRPr="009505C4">
              <w:rPr>
                <w:rFonts w:ascii="Calibri" w:eastAsia="Calibri" w:hAnsi="Calibri" w:cs="Calibri"/>
              </w:rPr>
              <w:t>To explain how brain processes manifest in</w:t>
            </w:r>
            <w:r w:rsidR="00A928A6">
              <w:rPr>
                <w:rFonts w:ascii="Calibri" w:eastAsia="Calibri" w:hAnsi="Calibri" w:cs="Calibri"/>
              </w:rPr>
              <w:t xml:space="preserve"> everyday</w:t>
            </w:r>
            <w:r w:rsidRPr="009505C4">
              <w:rPr>
                <w:rFonts w:ascii="Calibri" w:eastAsia="Calibri" w:hAnsi="Calibri" w:cs="Calibri"/>
              </w:rPr>
              <w:t xml:space="preserve"> functions and </w:t>
            </w:r>
            <w:proofErr w:type="spellStart"/>
            <w:r w:rsidRPr="009505C4">
              <w:rPr>
                <w:rFonts w:ascii="Calibri" w:eastAsia="Calibri" w:hAnsi="Calibri" w:cs="Calibri"/>
              </w:rPr>
              <w:t>behaviors</w:t>
            </w:r>
            <w:proofErr w:type="spellEnd"/>
          </w:p>
          <w:p w14:paraId="1AC9994C" w14:textId="3AFA64EE" w:rsidR="00795C64" w:rsidRDefault="009505C4">
            <w:pPr>
              <w:jc w:val="both"/>
              <w:rPr>
                <w:rFonts w:ascii="Calibri" w:eastAsia="Calibri" w:hAnsi="Calibri" w:cs="Calibri"/>
              </w:rPr>
            </w:pPr>
            <w:r w:rsidRPr="009505C4">
              <w:rPr>
                <w:rFonts w:ascii="Calibri" w:eastAsia="Calibri" w:hAnsi="Calibri" w:cs="Calibri"/>
              </w:rPr>
              <w:t>To connect clinical symptoms with brain-related processes</w:t>
            </w:r>
          </w:p>
        </w:tc>
      </w:tr>
      <w:tr w:rsidR="00795C64" w14:paraId="53FD5F88" w14:textId="77777777">
        <w:trPr>
          <w:cantSplit/>
          <w:trHeight w:val="978"/>
          <w:jc w:val="center"/>
        </w:trPr>
        <w:tc>
          <w:tcPr>
            <w:tcW w:w="1980" w:type="dxa"/>
            <w:vAlign w:val="center"/>
          </w:tcPr>
          <w:p w14:paraId="0BE2F4E2" w14:textId="77777777" w:rsidR="00795C64" w:rsidRDefault="00403C47">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42B10716" w14:textId="7740E22F" w:rsidR="009505C4" w:rsidRPr="009505C4" w:rsidRDefault="009505C4" w:rsidP="009505C4">
            <w:pPr>
              <w:jc w:val="both"/>
              <w:rPr>
                <w:rFonts w:ascii="Calibri" w:eastAsia="Calibri" w:hAnsi="Calibri" w:cs="Calibri"/>
              </w:rPr>
            </w:pPr>
            <w:r w:rsidRPr="009505C4">
              <w:rPr>
                <w:rFonts w:ascii="Calibri" w:eastAsia="Calibri" w:hAnsi="Calibri" w:cs="Calibri"/>
              </w:rPr>
              <w:t xml:space="preserve">To carry out professional </w:t>
            </w:r>
            <w:r>
              <w:rPr>
                <w:rFonts w:ascii="Calibri" w:eastAsia="Calibri" w:hAnsi="Calibri" w:cs="Calibri"/>
              </w:rPr>
              <w:t>activities</w:t>
            </w:r>
            <w:r w:rsidRPr="009505C4">
              <w:rPr>
                <w:rFonts w:ascii="Calibri" w:eastAsia="Calibri" w:hAnsi="Calibri" w:cs="Calibri"/>
              </w:rPr>
              <w:t xml:space="preserve"> responsibly, under conditions of restricted autonomy and qualified supervision</w:t>
            </w:r>
          </w:p>
          <w:p w14:paraId="1CD9361B" w14:textId="77777777" w:rsidR="00795C64" w:rsidRDefault="00795C64">
            <w:pPr>
              <w:jc w:val="both"/>
              <w:rPr>
                <w:rFonts w:ascii="Calibri" w:eastAsia="Calibri" w:hAnsi="Calibri" w:cs="Calibri"/>
              </w:rPr>
            </w:pPr>
          </w:p>
        </w:tc>
      </w:tr>
    </w:tbl>
    <w:p w14:paraId="3A46C750" w14:textId="77777777" w:rsidR="00795C64" w:rsidRDefault="00795C64">
      <w:pPr>
        <w:rPr>
          <w:rFonts w:ascii="Calibri" w:eastAsia="Calibri" w:hAnsi="Calibri" w:cs="Calibri"/>
          <w:sz w:val="20"/>
          <w:szCs w:val="20"/>
        </w:rPr>
      </w:pPr>
    </w:p>
    <w:p w14:paraId="485918E9" w14:textId="77777777" w:rsidR="00795C64" w:rsidRDefault="00403C47">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2AFBBAD1" w:rsidR="0050217E" w:rsidRDefault="0050217E" w:rsidP="00EA212C">
      <w:pPr>
        <w:shd w:val="clear" w:color="auto" w:fill="FFFFFF"/>
        <w:rPr>
          <w:rFonts w:ascii="Calibri" w:hAnsi="Calibri" w:cs="Calibri"/>
          <w:b/>
          <w:bCs/>
          <w:color w:val="444746"/>
          <w:sz w:val="21"/>
          <w:szCs w:val="21"/>
        </w:rPr>
      </w:pPr>
      <w:r w:rsidRPr="0050217E">
        <w:rPr>
          <w:rFonts w:ascii="Calibri" w:hAnsi="Calibri" w:cs="Calibri"/>
        </w:rPr>
        <w:t>The platform through which the course materials in electronic format and other learning/bibliographic resources can be accessed:</w:t>
      </w:r>
      <w:r w:rsidR="00EA212C">
        <w:rPr>
          <w:rFonts w:ascii="Calibri" w:hAnsi="Calibri" w:cs="Calibri"/>
        </w:rPr>
        <w:t xml:space="preserve"> </w:t>
      </w:r>
      <w:r w:rsidR="00EA212C" w:rsidRPr="00EA212C">
        <w:rPr>
          <w:rFonts w:ascii="Calibri" w:hAnsi="Calibri" w:cs="Calibri"/>
          <w:b/>
          <w:bCs/>
          <w:color w:val="444746"/>
        </w:rPr>
        <w:t>pcmc5jvi</w:t>
      </w:r>
    </w:p>
    <w:p w14:paraId="1339A922" w14:textId="77777777" w:rsidR="00EA212C" w:rsidRPr="00EA212C" w:rsidRDefault="00EA212C" w:rsidP="00EA212C">
      <w:pPr>
        <w:shd w:val="clear" w:color="auto" w:fill="FFFFFF"/>
        <w:rPr>
          <w:rFonts w:ascii="Roboto" w:hAnsi="Roboto"/>
          <w:color w:val="444746"/>
          <w:sz w:val="21"/>
          <w:szCs w:val="21"/>
        </w:rPr>
      </w:pP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5"/>
        <w:gridCol w:w="1800"/>
        <w:gridCol w:w="5796"/>
      </w:tblGrid>
      <w:tr w:rsidR="00795C64" w14:paraId="4AB7F902" w14:textId="77777777" w:rsidTr="00A10900">
        <w:trPr>
          <w:jc w:val="center"/>
        </w:trPr>
        <w:tc>
          <w:tcPr>
            <w:tcW w:w="2605"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403C47">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7.1 Course</w:t>
            </w:r>
          </w:p>
        </w:tc>
        <w:tc>
          <w:tcPr>
            <w:tcW w:w="1800"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403C47">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5796"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403C47">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A10900" w14:paraId="797746F6" w14:textId="77777777" w:rsidTr="00A10900">
        <w:trPr>
          <w:jc w:val="center"/>
        </w:trPr>
        <w:tc>
          <w:tcPr>
            <w:tcW w:w="2605" w:type="dxa"/>
            <w:vAlign w:val="center"/>
          </w:tcPr>
          <w:p w14:paraId="0ED89F17" w14:textId="3A53D06D" w:rsidR="00A10900" w:rsidRPr="00F03B2B" w:rsidRDefault="00A10900" w:rsidP="00A10900">
            <w:pPr>
              <w:numPr>
                <w:ilvl w:val="0"/>
                <w:numId w:val="4"/>
              </w:numPr>
              <w:pBdr>
                <w:top w:val="nil"/>
                <w:left w:val="nil"/>
                <w:bottom w:val="nil"/>
                <w:right w:val="nil"/>
                <w:between w:val="nil"/>
              </w:pBdr>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Introduction to cognitive neuroscience – principles and methodologies</w:t>
            </w:r>
          </w:p>
        </w:tc>
        <w:tc>
          <w:tcPr>
            <w:tcW w:w="1800" w:type="dxa"/>
            <w:vAlign w:val="center"/>
          </w:tcPr>
          <w:p w14:paraId="275BF545" w14:textId="12852606"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631EE6B2" w14:textId="77777777" w:rsidR="00A10900" w:rsidRPr="00F03B2B" w:rsidRDefault="00A10900" w:rsidP="00A10900">
            <w:pPr>
              <w:pStyle w:val="NoSpacing"/>
              <w:numPr>
                <w:ilvl w:val="0"/>
                <w:numId w:val="8"/>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M.G. (2012). Definitions, themes, and approaches. The Methods of Cognitive Neuroscience. In Principles of Cognitive Neuroscience. Second Edition. (pp. 5-50). Sinauer Associates</w:t>
            </w:r>
          </w:p>
          <w:p w14:paraId="0DDD2F96" w14:textId="10BAA37F" w:rsidR="00A10900" w:rsidRPr="00F03B2B" w:rsidRDefault="00A10900" w:rsidP="00A10900">
            <w:pPr>
              <w:pStyle w:val="NoSpacing"/>
              <w:numPr>
                <w:ilvl w:val="0"/>
                <w:numId w:val="8"/>
              </w:numPr>
              <w:rPr>
                <w:rFonts w:asciiTheme="minorHAnsi" w:hAnsiTheme="minorHAnsi" w:cstheme="minorHAnsi"/>
                <w:sz w:val="22"/>
                <w:szCs w:val="22"/>
              </w:rPr>
            </w:pPr>
            <w:r w:rsidRPr="00F03B2B">
              <w:rPr>
                <w:rFonts w:asciiTheme="minorHAnsi" w:hAnsiTheme="minorHAnsi" w:cstheme="minorHAnsi"/>
                <w:sz w:val="22"/>
                <w:szCs w:val="22"/>
              </w:rPr>
              <w:t>Baars, B. J. &amp; Gage, N. M. (2012). Mind and brain. In Fundamentals of Cognitive Neuroscience. A Beginner’s Guide (pp. 3-23). Elsevier</w:t>
            </w:r>
          </w:p>
        </w:tc>
      </w:tr>
      <w:tr w:rsidR="00A10900" w14:paraId="331A4E8F" w14:textId="77777777" w:rsidTr="00A10900">
        <w:trPr>
          <w:jc w:val="center"/>
        </w:trPr>
        <w:tc>
          <w:tcPr>
            <w:tcW w:w="2605" w:type="dxa"/>
            <w:vAlign w:val="center"/>
          </w:tcPr>
          <w:p w14:paraId="6FEA316B" w14:textId="34A5F105" w:rsidR="00A10900" w:rsidRPr="00F03B2B" w:rsidRDefault="00A10900" w:rsidP="00A10900">
            <w:pPr>
              <w:numPr>
                <w:ilvl w:val="0"/>
                <w:numId w:val="4"/>
              </w:numPr>
              <w:pBdr>
                <w:top w:val="nil"/>
                <w:left w:val="nil"/>
                <w:bottom w:val="nil"/>
                <w:right w:val="nil"/>
                <w:between w:val="nil"/>
              </w:pBdr>
              <w:jc w:val="both"/>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 xml:space="preserve">Hemispheric specialization and lobe functions </w:t>
            </w:r>
          </w:p>
        </w:tc>
        <w:tc>
          <w:tcPr>
            <w:tcW w:w="1800" w:type="dxa"/>
            <w:vAlign w:val="center"/>
          </w:tcPr>
          <w:p w14:paraId="0676BED9" w14:textId="627E47A2"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218EEDCA" w14:textId="77777777" w:rsidR="00A10900" w:rsidRPr="00F03B2B" w:rsidRDefault="00A10900" w:rsidP="00A10900">
            <w:pPr>
              <w:pStyle w:val="NoSpacing"/>
              <w:numPr>
                <w:ilvl w:val="0"/>
                <w:numId w:val="8"/>
              </w:numPr>
              <w:rPr>
                <w:rFonts w:asciiTheme="minorHAnsi" w:hAnsiTheme="minorHAnsi" w:cstheme="minorHAnsi"/>
                <w:sz w:val="22"/>
                <w:szCs w:val="22"/>
              </w:rPr>
            </w:pPr>
            <w:r w:rsidRPr="00F03B2B">
              <w:rPr>
                <w:rFonts w:asciiTheme="minorHAnsi" w:hAnsiTheme="minorHAnsi" w:cstheme="minorHAnsi"/>
                <w:sz w:val="22"/>
                <w:szCs w:val="22"/>
              </w:rPr>
              <w:t>Baars, B. J. &amp; Gage, N. M. (2012). A useful framework. The Brain. In Fundamentals of Cognitive Neuroscience. A Beginner’s Guide. (pp. 26-56; pp. 90-106). Elsevier</w:t>
            </w:r>
          </w:p>
          <w:p w14:paraId="738C0C62" w14:textId="77777777" w:rsidR="00F03B2B" w:rsidRPr="00F03B2B" w:rsidRDefault="00A10900" w:rsidP="00F03B2B">
            <w:pPr>
              <w:pStyle w:val="NoSpacing"/>
              <w:numPr>
                <w:ilvl w:val="0"/>
                <w:numId w:val="8"/>
              </w:numPr>
              <w:rPr>
                <w:rFonts w:asciiTheme="minorHAnsi" w:hAnsiTheme="minorHAnsi" w:cstheme="minorHAnsi"/>
                <w:sz w:val="22"/>
                <w:szCs w:val="22"/>
              </w:rPr>
            </w:pPr>
            <w:r w:rsidRPr="00F03B2B">
              <w:rPr>
                <w:rFonts w:asciiTheme="minorHAnsi" w:hAnsiTheme="minorHAnsi" w:cstheme="minorHAnsi"/>
                <w:sz w:val="22"/>
                <w:szCs w:val="22"/>
              </w:rPr>
              <w:t>Banich, M.T. &amp; Compton, R. J. (2011). Hemispheric Specialization. In Cognitive Neuroscience. Third Edition. (pp. 89-108). Wadsworth</w:t>
            </w:r>
          </w:p>
          <w:p w14:paraId="148450BE" w14:textId="7E6E9661" w:rsidR="00A10900" w:rsidRPr="00F03B2B" w:rsidRDefault="00A10900" w:rsidP="00F03B2B">
            <w:pPr>
              <w:pStyle w:val="NoSpacing"/>
              <w:numPr>
                <w:ilvl w:val="0"/>
                <w:numId w:val="8"/>
              </w:numPr>
              <w:rPr>
                <w:rFonts w:asciiTheme="minorHAnsi" w:hAnsiTheme="minorHAnsi" w:cstheme="minorHAnsi"/>
                <w:sz w:val="22"/>
                <w:szCs w:val="22"/>
              </w:rPr>
            </w:pPr>
            <w:r w:rsidRPr="00F03B2B">
              <w:rPr>
                <w:rFonts w:asciiTheme="minorHAnsi" w:hAnsiTheme="minorHAnsi" w:cstheme="minorHAnsi"/>
                <w:sz w:val="22"/>
                <w:szCs w:val="22"/>
              </w:rPr>
              <w:lastRenderedPageBreak/>
              <w:t>Postle, B. R. (2015). The Brain. In Essentials of Cognitive Neuroscience. (pp. 22-54). Wiley Blackwell</w:t>
            </w:r>
          </w:p>
        </w:tc>
      </w:tr>
      <w:tr w:rsidR="00A10900" w14:paraId="7481F31F" w14:textId="77777777" w:rsidTr="00A10900">
        <w:trPr>
          <w:jc w:val="center"/>
        </w:trPr>
        <w:tc>
          <w:tcPr>
            <w:tcW w:w="2605" w:type="dxa"/>
            <w:vAlign w:val="center"/>
          </w:tcPr>
          <w:p w14:paraId="13448D02" w14:textId="064303C0" w:rsidR="00A10900" w:rsidRPr="00F03B2B" w:rsidRDefault="00A10900" w:rsidP="00A10900">
            <w:pPr>
              <w:numPr>
                <w:ilvl w:val="0"/>
                <w:numId w:val="4"/>
              </w:numPr>
              <w:pBdr>
                <w:top w:val="nil"/>
                <w:left w:val="nil"/>
                <w:bottom w:val="nil"/>
                <w:right w:val="nil"/>
                <w:between w:val="nil"/>
              </w:pBdr>
              <w:jc w:val="both"/>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lastRenderedPageBreak/>
              <w:t>Sensation and Perception – vision and audition</w:t>
            </w:r>
          </w:p>
        </w:tc>
        <w:tc>
          <w:tcPr>
            <w:tcW w:w="1800" w:type="dxa"/>
            <w:vAlign w:val="center"/>
          </w:tcPr>
          <w:p w14:paraId="47E23D06" w14:textId="270E968A"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75B1ED8B" w14:textId="77777777" w:rsidR="00A10900" w:rsidRPr="00F03B2B" w:rsidRDefault="00A10900" w:rsidP="00A10900">
            <w:pPr>
              <w:pStyle w:val="NoSpacing"/>
              <w:numPr>
                <w:ilvl w:val="0"/>
                <w:numId w:val="10"/>
              </w:numPr>
              <w:rPr>
                <w:rFonts w:asciiTheme="minorHAnsi" w:hAnsiTheme="minorHAnsi" w:cstheme="minorHAnsi"/>
                <w:sz w:val="22"/>
                <w:szCs w:val="22"/>
              </w:rPr>
            </w:pPr>
            <w:r w:rsidRPr="00F03B2B">
              <w:rPr>
                <w:rFonts w:asciiTheme="minorHAnsi" w:hAnsiTheme="minorHAnsi" w:cstheme="minorHAnsi"/>
                <w:sz w:val="22"/>
                <w:szCs w:val="22"/>
              </w:rPr>
              <w:t>Baars, B. J. &amp; Gage, N. M. (2012). The art of seeing. Sound, speech, and music perception. In Fundamentals of Cognitive Neuroscience. A Beginner’s Guide (pp. 142-208). Elsevier</w:t>
            </w:r>
          </w:p>
          <w:p w14:paraId="45F2DD4A" w14:textId="77777777" w:rsidR="00A10900" w:rsidRPr="00F03B2B" w:rsidRDefault="00A10900" w:rsidP="00A10900">
            <w:pPr>
              <w:pStyle w:val="ListParagraph"/>
              <w:numPr>
                <w:ilvl w:val="0"/>
                <w:numId w:val="10"/>
              </w:numPr>
              <w:rPr>
                <w:rFonts w:asciiTheme="minorHAnsi" w:hAnsiTheme="minorHAnsi" w:cstheme="minorHAnsi"/>
                <w:sz w:val="22"/>
                <w:szCs w:val="22"/>
              </w:rPr>
            </w:pPr>
            <w:r w:rsidRPr="00F03B2B">
              <w:rPr>
                <w:rFonts w:asciiTheme="minorHAnsi" w:hAnsiTheme="minorHAnsi" w:cstheme="minorHAnsi"/>
                <w:sz w:val="22"/>
                <w:szCs w:val="22"/>
              </w:rPr>
              <w:t xml:space="preserve">Banich, M.T. &amp; Compton, R. J. (2010). Early Perceptual Processing. In Cognitive Neuroscience. Third Edition. (pp. 145-178). Wiley Blackwell </w:t>
            </w:r>
          </w:p>
          <w:p w14:paraId="543CB2C4" w14:textId="77777777" w:rsidR="00F03B2B" w:rsidRPr="00F03B2B" w:rsidRDefault="00A10900" w:rsidP="00F03B2B">
            <w:pPr>
              <w:pStyle w:val="NoSpacing"/>
              <w:numPr>
                <w:ilvl w:val="0"/>
                <w:numId w:val="8"/>
              </w:numPr>
              <w:rPr>
                <w:rFonts w:asciiTheme="minorHAnsi" w:hAnsiTheme="minorHAnsi" w:cstheme="minorHAnsi"/>
                <w:sz w:val="22"/>
                <w:szCs w:val="22"/>
              </w:rPr>
            </w:pPr>
            <w:r w:rsidRPr="00F03B2B">
              <w:rPr>
                <w:rFonts w:asciiTheme="minorHAnsi" w:hAnsiTheme="minorHAnsi" w:cstheme="minorHAnsi"/>
                <w:sz w:val="22"/>
                <w:szCs w:val="22"/>
              </w:rPr>
              <w:t>Postle, B.R. (2015). Sensation, Perception, attention, and action. In Essentials of Cognitive Neuroscience. (pp. 51-152). Wiley Blackwell</w:t>
            </w:r>
          </w:p>
          <w:p w14:paraId="4D4BEAF7" w14:textId="4FC50424" w:rsidR="00A10900" w:rsidRPr="00F03B2B" w:rsidRDefault="00A10900" w:rsidP="00F03B2B">
            <w:pPr>
              <w:pStyle w:val="NoSpacing"/>
              <w:numPr>
                <w:ilvl w:val="0"/>
                <w:numId w:val="8"/>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M.G. (2012). Sensory Systems and Perception. In Principles of Cognitive Neuroscience. Second Edition. (pp. 55-115). Sinauer Associates</w:t>
            </w:r>
          </w:p>
        </w:tc>
      </w:tr>
      <w:tr w:rsidR="00A10900" w14:paraId="77237EC5" w14:textId="77777777" w:rsidTr="00A10900">
        <w:trPr>
          <w:jc w:val="center"/>
        </w:trPr>
        <w:tc>
          <w:tcPr>
            <w:tcW w:w="2605" w:type="dxa"/>
            <w:vAlign w:val="center"/>
          </w:tcPr>
          <w:p w14:paraId="78FA8304" w14:textId="7A3DB034" w:rsidR="00A10900" w:rsidRPr="00F03B2B" w:rsidRDefault="00A10900" w:rsidP="00F03B2B">
            <w:pPr>
              <w:numPr>
                <w:ilvl w:val="0"/>
                <w:numId w:val="4"/>
              </w:numPr>
              <w:pBdr>
                <w:top w:val="nil"/>
                <w:left w:val="nil"/>
                <w:bottom w:val="nil"/>
                <w:right w:val="nil"/>
                <w:between w:val="nil"/>
              </w:pBdr>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Movement and Motor Control</w:t>
            </w:r>
          </w:p>
        </w:tc>
        <w:tc>
          <w:tcPr>
            <w:tcW w:w="1800" w:type="dxa"/>
            <w:vAlign w:val="center"/>
          </w:tcPr>
          <w:p w14:paraId="3D812C76" w14:textId="25932507"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19003B36" w14:textId="77777777" w:rsidR="00A10900" w:rsidRPr="00F03B2B" w:rsidRDefault="00A10900" w:rsidP="00A10900">
            <w:pPr>
              <w:pStyle w:val="ListParagraph"/>
              <w:numPr>
                <w:ilvl w:val="0"/>
                <w:numId w:val="10"/>
              </w:numPr>
              <w:rPr>
                <w:rFonts w:asciiTheme="minorHAnsi" w:hAnsiTheme="minorHAnsi" w:cstheme="minorHAnsi"/>
                <w:sz w:val="22"/>
                <w:szCs w:val="22"/>
              </w:rPr>
            </w:pPr>
            <w:r w:rsidRPr="00F03B2B">
              <w:rPr>
                <w:rFonts w:asciiTheme="minorHAnsi" w:hAnsiTheme="minorHAnsi" w:cstheme="minorHAnsi"/>
                <w:sz w:val="22"/>
                <w:szCs w:val="22"/>
              </w:rPr>
              <w:t xml:space="preserve">Banich, M.T. &amp; Compton, R. J. (2010). </w:t>
            </w:r>
            <w:proofErr w:type="spellStart"/>
            <w:r w:rsidRPr="00F03B2B">
              <w:rPr>
                <w:rFonts w:asciiTheme="minorHAnsi" w:hAnsiTheme="minorHAnsi" w:cstheme="minorHAnsi"/>
                <w:sz w:val="22"/>
                <w:szCs w:val="22"/>
              </w:rPr>
              <w:t>Motorrepe</w:t>
            </w:r>
            <w:proofErr w:type="spellEnd"/>
            <w:r w:rsidRPr="00F03B2B">
              <w:rPr>
                <w:rFonts w:asciiTheme="minorHAnsi" w:hAnsiTheme="minorHAnsi" w:cstheme="minorHAnsi"/>
                <w:sz w:val="22"/>
                <w:szCs w:val="22"/>
              </w:rPr>
              <w:t xml:space="preserve"> Control. In Cognitive Neuroscience. Third Edition. (pp. 108-145). Wiley Blackwell </w:t>
            </w:r>
          </w:p>
          <w:p w14:paraId="60A650DE" w14:textId="77777777" w:rsidR="00F03B2B" w:rsidRPr="00F03B2B" w:rsidRDefault="00A10900" w:rsidP="00F03B2B">
            <w:pPr>
              <w:pStyle w:val="NoSpacing"/>
              <w:numPr>
                <w:ilvl w:val="0"/>
                <w:numId w:val="10"/>
              </w:numPr>
              <w:rPr>
                <w:rFonts w:asciiTheme="minorHAnsi" w:hAnsiTheme="minorHAnsi" w:cstheme="minorHAnsi"/>
                <w:sz w:val="22"/>
                <w:szCs w:val="22"/>
              </w:rPr>
            </w:pPr>
            <w:r w:rsidRPr="00F03B2B">
              <w:rPr>
                <w:rFonts w:asciiTheme="minorHAnsi" w:hAnsiTheme="minorHAnsi" w:cstheme="minorHAnsi"/>
                <w:sz w:val="22"/>
                <w:szCs w:val="22"/>
              </w:rPr>
              <w:t xml:space="preserve">Postle, B.R. (2015). </w:t>
            </w:r>
            <w:proofErr w:type="spellStart"/>
            <w:r w:rsidRPr="00F03B2B">
              <w:rPr>
                <w:rFonts w:asciiTheme="minorHAnsi" w:hAnsiTheme="minorHAnsi" w:cstheme="minorHAnsi"/>
                <w:sz w:val="22"/>
                <w:szCs w:val="22"/>
              </w:rPr>
              <w:t>Skeletomotor</w:t>
            </w:r>
            <w:proofErr w:type="spellEnd"/>
            <w:r w:rsidRPr="00F03B2B">
              <w:rPr>
                <w:rFonts w:asciiTheme="minorHAnsi" w:hAnsiTheme="minorHAnsi" w:cstheme="minorHAnsi"/>
                <w:sz w:val="22"/>
                <w:szCs w:val="22"/>
              </w:rPr>
              <w:t xml:space="preserve"> Control. In Essentials of Cognitive Neuroscience. (pp. 196-227). Wiley Blackwell</w:t>
            </w:r>
          </w:p>
          <w:p w14:paraId="1F937606" w14:textId="0783A6E5" w:rsidR="00A10900" w:rsidRPr="00F03B2B" w:rsidRDefault="00A10900" w:rsidP="00F03B2B">
            <w:pPr>
              <w:pStyle w:val="NoSpacing"/>
              <w:numPr>
                <w:ilvl w:val="0"/>
                <w:numId w:val="10"/>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M.G. (2012). Motor Systems. In Principles of Cognitive Neuroscience. Second Edition. (pp. 131-153). Sinauer Associates</w:t>
            </w:r>
          </w:p>
        </w:tc>
      </w:tr>
      <w:tr w:rsidR="00A10900" w14:paraId="1663ECCD" w14:textId="77777777" w:rsidTr="00A10900">
        <w:trPr>
          <w:jc w:val="center"/>
        </w:trPr>
        <w:tc>
          <w:tcPr>
            <w:tcW w:w="2605" w:type="dxa"/>
            <w:vAlign w:val="center"/>
          </w:tcPr>
          <w:p w14:paraId="27C34D6B" w14:textId="71E3F0EA" w:rsidR="00A10900" w:rsidRPr="00F03B2B" w:rsidRDefault="00A10900" w:rsidP="00F03B2B">
            <w:pPr>
              <w:numPr>
                <w:ilvl w:val="0"/>
                <w:numId w:val="4"/>
              </w:numPr>
              <w:pBdr>
                <w:top w:val="nil"/>
                <w:left w:val="nil"/>
                <w:bottom w:val="nil"/>
                <w:right w:val="nil"/>
                <w:between w:val="nil"/>
              </w:pBdr>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Language and communication</w:t>
            </w:r>
          </w:p>
        </w:tc>
        <w:tc>
          <w:tcPr>
            <w:tcW w:w="1800" w:type="dxa"/>
            <w:vAlign w:val="center"/>
          </w:tcPr>
          <w:p w14:paraId="0A7DD379" w14:textId="3DC7C0F7"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33428DE9" w14:textId="77777777" w:rsidR="00A10900" w:rsidRPr="00F03B2B" w:rsidRDefault="00A10900" w:rsidP="00A10900">
            <w:pPr>
              <w:pStyle w:val="NoSpacing"/>
              <w:numPr>
                <w:ilvl w:val="0"/>
                <w:numId w:val="10"/>
              </w:numPr>
              <w:rPr>
                <w:rFonts w:asciiTheme="minorHAnsi" w:hAnsiTheme="minorHAnsi" w:cstheme="minorHAnsi"/>
                <w:sz w:val="22"/>
                <w:szCs w:val="22"/>
              </w:rPr>
            </w:pPr>
            <w:r w:rsidRPr="00F03B2B">
              <w:rPr>
                <w:rFonts w:asciiTheme="minorHAnsi" w:hAnsiTheme="minorHAnsi" w:cstheme="minorHAnsi"/>
                <w:sz w:val="22"/>
                <w:szCs w:val="22"/>
              </w:rPr>
              <w:t>Baars, B. J. &amp; Gage, N. M. (2012). Language. In Fundamentals of Cognitive Neuroscience. A Beginner’s Guide (pp. 315-327). Elsevier</w:t>
            </w:r>
          </w:p>
          <w:p w14:paraId="1B4AF6BE" w14:textId="77777777" w:rsidR="00A10900" w:rsidRPr="00F03B2B" w:rsidRDefault="00A10900" w:rsidP="00A10900">
            <w:pPr>
              <w:pStyle w:val="ListParagraph"/>
              <w:numPr>
                <w:ilvl w:val="0"/>
                <w:numId w:val="10"/>
              </w:numPr>
              <w:rPr>
                <w:rFonts w:asciiTheme="minorHAnsi" w:hAnsiTheme="minorHAnsi" w:cstheme="minorHAnsi"/>
                <w:sz w:val="22"/>
                <w:szCs w:val="22"/>
              </w:rPr>
            </w:pPr>
            <w:r w:rsidRPr="00F03B2B">
              <w:rPr>
                <w:rFonts w:asciiTheme="minorHAnsi" w:hAnsiTheme="minorHAnsi" w:cstheme="minorHAnsi"/>
                <w:sz w:val="22"/>
                <w:szCs w:val="22"/>
              </w:rPr>
              <w:t xml:space="preserve">Banich, M.T. &amp; Compton, R. J. (2010). Language. In Cognitive Neuroscience. Third Edition. (pp. 231-265). Wiley Blackwell </w:t>
            </w:r>
          </w:p>
          <w:p w14:paraId="3313DECA" w14:textId="77777777" w:rsidR="00F03B2B" w:rsidRPr="00F03B2B" w:rsidRDefault="00A10900" w:rsidP="00F03B2B">
            <w:pPr>
              <w:pStyle w:val="ListParagraph"/>
              <w:numPr>
                <w:ilvl w:val="0"/>
                <w:numId w:val="10"/>
              </w:numPr>
              <w:rPr>
                <w:rFonts w:asciiTheme="minorHAnsi" w:hAnsiTheme="minorHAnsi" w:cstheme="minorHAnsi"/>
                <w:sz w:val="22"/>
                <w:szCs w:val="22"/>
              </w:rPr>
            </w:pPr>
            <w:r w:rsidRPr="00F03B2B">
              <w:rPr>
                <w:rFonts w:asciiTheme="minorHAnsi" w:hAnsiTheme="minorHAnsi" w:cstheme="minorHAnsi"/>
                <w:sz w:val="22"/>
                <w:szCs w:val="22"/>
              </w:rPr>
              <w:t>Postle, B.R. (2015). Language. In Essentials of Cognitive Neuroscience. (pp. 502-530). Wiley Blackwell</w:t>
            </w:r>
          </w:p>
          <w:p w14:paraId="18267505" w14:textId="252C6463" w:rsidR="00A10900" w:rsidRPr="00F03B2B" w:rsidRDefault="00A10900" w:rsidP="00F03B2B">
            <w:pPr>
              <w:pStyle w:val="ListParagraph"/>
              <w:numPr>
                <w:ilvl w:val="0"/>
                <w:numId w:val="10"/>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M.G. (2012). Language. In Principles of Cognitive Neuroscience. Second Edition. (pp. 393-422). Sinauer Associates</w:t>
            </w:r>
          </w:p>
        </w:tc>
      </w:tr>
      <w:tr w:rsidR="00A10900" w14:paraId="3F44CC07" w14:textId="77777777" w:rsidTr="00A10900">
        <w:trPr>
          <w:jc w:val="center"/>
        </w:trPr>
        <w:tc>
          <w:tcPr>
            <w:tcW w:w="2605" w:type="dxa"/>
            <w:vAlign w:val="center"/>
          </w:tcPr>
          <w:p w14:paraId="12803FDB" w14:textId="459151FA" w:rsidR="00A10900" w:rsidRPr="00F03B2B" w:rsidRDefault="00A10900" w:rsidP="00A10900">
            <w:pPr>
              <w:numPr>
                <w:ilvl w:val="0"/>
                <w:numId w:val="4"/>
              </w:numPr>
              <w:pBdr>
                <w:top w:val="nil"/>
                <w:left w:val="nil"/>
                <w:bottom w:val="nil"/>
                <w:right w:val="nil"/>
                <w:between w:val="nil"/>
              </w:pBdr>
              <w:jc w:val="both"/>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Attention</w:t>
            </w:r>
          </w:p>
        </w:tc>
        <w:tc>
          <w:tcPr>
            <w:tcW w:w="1800" w:type="dxa"/>
            <w:vAlign w:val="center"/>
          </w:tcPr>
          <w:p w14:paraId="5D1E5DB1" w14:textId="4D7E6DB9"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06442B3A" w14:textId="77777777" w:rsidR="00A10900" w:rsidRPr="00F03B2B" w:rsidRDefault="00A10900" w:rsidP="00A10900">
            <w:pPr>
              <w:pStyle w:val="ListParagraph"/>
              <w:numPr>
                <w:ilvl w:val="0"/>
                <w:numId w:val="10"/>
              </w:numPr>
              <w:rPr>
                <w:rFonts w:asciiTheme="minorHAnsi" w:hAnsiTheme="minorHAnsi" w:cstheme="minorHAnsi"/>
                <w:sz w:val="22"/>
                <w:szCs w:val="22"/>
              </w:rPr>
            </w:pPr>
            <w:r w:rsidRPr="00F03B2B">
              <w:rPr>
                <w:rFonts w:asciiTheme="minorHAnsi" w:hAnsiTheme="minorHAnsi" w:cstheme="minorHAnsi"/>
                <w:sz w:val="22"/>
                <w:szCs w:val="22"/>
              </w:rPr>
              <w:t xml:space="preserve">Banich, M.T. &amp; Compton, R. J. (2010). Attention. In Cognitive Neuroscience. Third Edition. (pp. 302-336). Wiley Blackwell </w:t>
            </w:r>
          </w:p>
          <w:p w14:paraId="6478ADBC" w14:textId="77777777" w:rsidR="00DB79E2" w:rsidRPr="00F03B2B" w:rsidRDefault="00A10900" w:rsidP="00DB79E2">
            <w:pPr>
              <w:pStyle w:val="ListParagraph"/>
              <w:numPr>
                <w:ilvl w:val="0"/>
                <w:numId w:val="10"/>
              </w:numPr>
              <w:rPr>
                <w:rFonts w:asciiTheme="minorHAnsi" w:hAnsiTheme="minorHAnsi" w:cstheme="minorHAnsi"/>
                <w:sz w:val="22"/>
                <w:szCs w:val="22"/>
              </w:rPr>
            </w:pPr>
            <w:r w:rsidRPr="00F03B2B">
              <w:rPr>
                <w:rFonts w:asciiTheme="minorHAnsi" w:hAnsiTheme="minorHAnsi" w:cstheme="minorHAnsi"/>
                <w:sz w:val="22"/>
                <w:szCs w:val="22"/>
              </w:rPr>
              <w:t>Postle, B.R. (2015). Spatial Cognition and Attention. In Essentials of Cognitive Neuroscience. (pp. 153-195). Wiley Blackwell</w:t>
            </w:r>
          </w:p>
          <w:p w14:paraId="70FD44C9" w14:textId="780149C9" w:rsidR="00A10900" w:rsidRPr="00F03B2B" w:rsidRDefault="00A10900" w:rsidP="00DB79E2">
            <w:pPr>
              <w:pStyle w:val="ListParagraph"/>
              <w:numPr>
                <w:ilvl w:val="0"/>
                <w:numId w:val="10"/>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xml:space="preserve">, M.G. (2012). Attention and Its Effects on Stimulus Processing. In Principles of </w:t>
            </w:r>
            <w:r w:rsidRPr="00F03B2B">
              <w:rPr>
                <w:rFonts w:asciiTheme="minorHAnsi" w:hAnsiTheme="minorHAnsi" w:cstheme="minorHAnsi"/>
                <w:sz w:val="22"/>
                <w:szCs w:val="22"/>
              </w:rPr>
              <w:lastRenderedPageBreak/>
              <w:t>Cognitive Neuroscience. Second Edition. (pp. 167-243). Sinauer Associates</w:t>
            </w:r>
          </w:p>
        </w:tc>
      </w:tr>
      <w:tr w:rsidR="00A10900" w14:paraId="5A77FF9E" w14:textId="77777777" w:rsidTr="00A10900">
        <w:trPr>
          <w:jc w:val="center"/>
        </w:trPr>
        <w:tc>
          <w:tcPr>
            <w:tcW w:w="2605" w:type="dxa"/>
            <w:vAlign w:val="center"/>
          </w:tcPr>
          <w:p w14:paraId="5B1C3C03" w14:textId="2001D9EA" w:rsidR="00A10900" w:rsidRPr="00F03B2B" w:rsidRDefault="00A10900" w:rsidP="00F03B2B">
            <w:pPr>
              <w:numPr>
                <w:ilvl w:val="0"/>
                <w:numId w:val="4"/>
              </w:numPr>
              <w:pBdr>
                <w:top w:val="nil"/>
                <w:left w:val="nil"/>
                <w:bottom w:val="nil"/>
                <w:right w:val="nil"/>
                <w:between w:val="nil"/>
              </w:pBdr>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lastRenderedPageBreak/>
              <w:t>Memory and learning</w:t>
            </w:r>
          </w:p>
        </w:tc>
        <w:tc>
          <w:tcPr>
            <w:tcW w:w="1800" w:type="dxa"/>
            <w:vAlign w:val="center"/>
          </w:tcPr>
          <w:p w14:paraId="65371D1F" w14:textId="0A4BE5E7"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1CBF7343" w14:textId="77777777" w:rsidR="00A10900" w:rsidRPr="00F03B2B" w:rsidRDefault="00A10900" w:rsidP="00A10900">
            <w:pPr>
              <w:pStyle w:val="NoSpacing"/>
              <w:numPr>
                <w:ilvl w:val="0"/>
                <w:numId w:val="10"/>
              </w:numPr>
              <w:rPr>
                <w:rFonts w:asciiTheme="minorHAnsi" w:hAnsiTheme="minorHAnsi" w:cstheme="minorHAnsi"/>
                <w:sz w:val="22"/>
                <w:szCs w:val="22"/>
              </w:rPr>
            </w:pPr>
            <w:r w:rsidRPr="00F03B2B">
              <w:rPr>
                <w:rFonts w:asciiTheme="minorHAnsi" w:hAnsiTheme="minorHAnsi" w:cstheme="minorHAnsi"/>
                <w:sz w:val="22"/>
                <w:szCs w:val="22"/>
              </w:rPr>
              <w:t>Baars, B. J. &amp; Gage, N. M. (2012). Learning and memory. In Fundamentals of Cognitive Neuroscience. A Beginner’s Guide (pp. 254-287). Elsevier</w:t>
            </w:r>
          </w:p>
          <w:p w14:paraId="08BADFC3" w14:textId="77777777" w:rsidR="00DB79E2" w:rsidRPr="00F03B2B" w:rsidRDefault="00A10900" w:rsidP="00DB79E2">
            <w:pPr>
              <w:pStyle w:val="ListParagraph"/>
              <w:numPr>
                <w:ilvl w:val="0"/>
                <w:numId w:val="10"/>
              </w:numPr>
              <w:rPr>
                <w:rFonts w:asciiTheme="minorHAnsi" w:hAnsiTheme="minorHAnsi" w:cstheme="minorHAnsi"/>
                <w:sz w:val="22"/>
                <w:szCs w:val="22"/>
              </w:rPr>
            </w:pPr>
            <w:r w:rsidRPr="00F03B2B">
              <w:rPr>
                <w:rFonts w:asciiTheme="minorHAnsi" w:hAnsiTheme="minorHAnsi" w:cstheme="minorHAnsi"/>
                <w:sz w:val="22"/>
                <w:szCs w:val="22"/>
              </w:rPr>
              <w:t xml:space="preserve">Banich, M.T. &amp; Compton, R. J. (2010). Memory. In Cognitive Neuroscience. Third Edition. (pp. 265-302). Wiley Blackwell </w:t>
            </w:r>
          </w:p>
          <w:p w14:paraId="0E652CE5" w14:textId="3A451EC9" w:rsidR="00A10900" w:rsidRPr="00F03B2B" w:rsidRDefault="00A10900" w:rsidP="00DB79E2">
            <w:pPr>
              <w:pStyle w:val="ListParagraph"/>
              <w:numPr>
                <w:ilvl w:val="0"/>
                <w:numId w:val="10"/>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M.G. (2012). Memory. In Principles of Cognitive Neuroscience. Second Edition. (pp. 243-309). Sinauer Associates</w:t>
            </w:r>
          </w:p>
        </w:tc>
      </w:tr>
      <w:tr w:rsidR="00A10900" w14:paraId="5AA5E023" w14:textId="77777777" w:rsidTr="00A10900">
        <w:trPr>
          <w:jc w:val="center"/>
        </w:trPr>
        <w:tc>
          <w:tcPr>
            <w:tcW w:w="2605" w:type="dxa"/>
            <w:vAlign w:val="center"/>
          </w:tcPr>
          <w:p w14:paraId="4896339A" w14:textId="70E9F4C9" w:rsidR="00A10900" w:rsidRPr="00F03B2B" w:rsidRDefault="00A10900" w:rsidP="00F03B2B">
            <w:pPr>
              <w:numPr>
                <w:ilvl w:val="0"/>
                <w:numId w:val="4"/>
              </w:numPr>
              <w:pBdr>
                <w:top w:val="nil"/>
                <w:left w:val="nil"/>
                <w:bottom w:val="nil"/>
                <w:right w:val="nil"/>
                <w:between w:val="nil"/>
              </w:pBdr>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Thinking and problem solving</w:t>
            </w:r>
          </w:p>
        </w:tc>
        <w:tc>
          <w:tcPr>
            <w:tcW w:w="1800" w:type="dxa"/>
            <w:vAlign w:val="center"/>
          </w:tcPr>
          <w:p w14:paraId="454687AB" w14:textId="625D557D"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31A5774D" w14:textId="77777777" w:rsidR="00A10900" w:rsidRPr="00F03B2B" w:rsidRDefault="00A10900" w:rsidP="00A10900">
            <w:pPr>
              <w:pStyle w:val="NoSpacing"/>
              <w:numPr>
                <w:ilvl w:val="0"/>
                <w:numId w:val="10"/>
              </w:numPr>
              <w:rPr>
                <w:rFonts w:asciiTheme="minorHAnsi" w:hAnsiTheme="minorHAnsi" w:cstheme="minorHAnsi"/>
                <w:sz w:val="22"/>
                <w:szCs w:val="22"/>
              </w:rPr>
            </w:pPr>
            <w:r w:rsidRPr="00F03B2B">
              <w:rPr>
                <w:rFonts w:asciiTheme="minorHAnsi" w:hAnsiTheme="minorHAnsi" w:cstheme="minorHAnsi"/>
                <w:sz w:val="22"/>
                <w:szCs w:val="22"/>
              </w:rPr>
              <w:t>Baars, B. J. &amp; Gage, N. M. (2012). Thinking. In Fundamentals of Cognitive Neuroscience. A Beginner’s Guide (pp. 290-315). Elsevier</w:t>
            </w:r>
          </w:p>
          <w:p w14:paraId="31A58EF7" w14:textId="77777777" w:rsidR="00DB79E2" w:rsidRPr="00F03B2B" w:rsidRDefault="00A10900" w:rsidP="00DB79E2">
            <w:pPr>
              <w:pStyle w:val="ListParagraph"/>
              <w:numPr>
                <w:ilvl w:val="0"/>
                <w:numId w:val="10"/>
              </w:numPr>
              <w:rPr>
                <w:rFonts w:asciiTheme="minorHAnsi" w:hAnsiTheme="minorHAnsi" w:cstheme="minorHAnsi"/>
                <w:sz w:val="22"/>
                <w:szCs w:val="22"/>
              </w:rPr>
            </w:pPr>
            <w:r w:rsidRPr="00F03B2B">
              <w:rPr>
                <w:rFonts w:asciiTheme="minorHAnsi" w:hAnsiTheme="minorHAnsi" w:cstheme="minorHAnsi"/>
                <w:sz w:val="22"/>
                <w:szCs w:val="22"/>
              </w:rPr>
              <w:t>Postle, B.R. (2015). High-level cognition. In Essentials of Cognitive Neuroscience. (pp. 395-448). Wiley Blackwell</w:t>
            </w:r>
          </w:p>
          <w:p w14:paraId="3DCF741A" w14:textId="28CBE88F" w:rsidR="00A10900" w:rsidRPr="00F03B2B" w:rsidRDefault="00A10900" w:rsidP="00DB79E2">
            <w:pPr>
              <w:pStyle w:val="ListParagraph"/>
              <w:numPr>
                <w:ilvl w:val="0"/>
                <w:numId w:val="10"/>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M.G. (2012). Decision making. In Principles of Cognitive Neuroscience. Second Edition. (pp. 465-498). Sinauer Associates</w:t>
            </w:r>
          </w:p>
        </w:tc>
      </w:tr>
      <w:tr w:rsidR="00A10900" w14:paraId="2F71E6CD" w14:textId="77777777" w:rsidTr="00A10900">
        <w:trPr>
          <w:jc w:val="center"/>
        </w:trPr>
        <w:tc>
          <w:tcPr>
            <w:tcW w:w="2605" w:type="dxa"/>
            <w:vAlign w:val="center"/>
          </w:tcPr>
          <w:p w14:paraId="28947EA0" w14:textId="12134281" w:rsidR="00A10900" w:rsidRPr="00F03B2B" w:rsidRDefault="00A10900" w:rsidP="00A10900">
            <w:pPr>
              <w:numPr>
                <w:ilvl w:val="0"/>
                <w:numId w:val="4"/>
              </w:numPr>
              <w:pBdr>
                <w:top w:val="nil"/>
                <w:left w:val="nil"/>
                <w:bottom w:val="nil"/>
                <w:right w:val="nil"/>
                <w:between w:val="nil"/>
              </w:pBdr>
              <w:jc w:val="both"/>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Executive functions</w:t>
            </w:r>
          </w:p>
        </w:tc>
        <w:tc>
          <w:tcPr>
            <w:tcW w:w="1800" w:type="dxa"/>
            <w:vAlign w:val="center"/>
          </w:tcPr>
          <w:p w14:paraId="63CA86C8" w14:textId="7FC96043"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0F627106" w14:textId="77777777" w:rsidR="00DB79E2" w:rsidRPr="00F03B2B" w:rsidRDefault="00A10900" w:rsidP="00DB79E2">
            <w:pPr>
              <w:pStyle w:val="ListParagraph"/>
              <w:numPr>
                <w:ilvl w:val="0"/>
                <w:numId w:val="11"/>
              </w:numPr>
              <w:rPr>
                <w:rFonts w:asciiTheme="minorHAnsi" w:hAnsiTheme="minorHAnsi" w:cstheme="minorHAnsi"/>
                <w:sz w:val="22"/>
                <w:szCs w:val="22"/>
              </w:rPr>
            </w:pPr>
            <w:r w:rsidRPr="00F03B2B">
              <w:rPr>
                <w:rFonts w:asciiTheme="minorHAnsi" w:hAnsiTheme="minorHAnsi" w:cstheme="minorHAnsi"/>
                <w:sz w:val="22"/>
                <w:szCs w:val="22"/>
              </w:rPr>
              <w:t xml:space="preserve">Banich, M.T. &amp; Compton, R. J. (2010). Executive Function. In Cognitive Neuroscience. Third Edition. (pp. 336-365). Wiley Blackwell </w:t>
            </w:r>
          </w:p>
          <w:p w14:paraId="6BA18B82" w14:textId="47BBEC3B" w:rsidR="00A10900" w:rsidRPr="00F03B2B" w:rsidRDefault="00A10900" w:rsidP="00DB79E2">
            <w:pPr>
              <w:pStyle w:val="ListParagraph"/>
              <w:numPr>
                <w:ilvl w:val="0"/>
                <w:numId w:val="11"/>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M.G. (2012). Executive Functions. In Principles of Cognitive Neuroscience. Second Edition. (pp. 429-450). Sinauer Associates</w:t>
            </w:r>
          </w:p>
        </w:tc>
      </w:tr>
      <w:tr w:rsidR="00A10900" w14:paraId="45284483" w14:textId="77777777" w:rsidTr="00A10900">
        <w:trPr>
          <w:jc w:val="center"/>
        </w:trPr>
        <w:tc>
          <w:tcPr>
            <w:tcW w:w="2605" w:type="dxa"/>
            <w:vAlign w:val="center"/>
          </w:tcPr>
          <w:p w14:paraId="4793EA07" w14:textId="0417B59C" w:rsidR="00A10900" w:rsidRPr="00F03B2B" w:rsidRDefault="00A10900" w:rsidP="00A10900">
            <w:pPr>
              <w:numPr>
                <w:ilvl w:val="0"/>
                <w:numId w:val="4"/>
              </w:numPr>
              <w:pBdr>
                <w:top w:val="nil"/>
                <w:left w:val="nil"/>
                <w:bottom w:val="nil"/>
                <w:right w:val="nil"/>
                <w:between w:val="nil"/>
              </w:pBdr>
              <w:jc w:val="both"/>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 xml:space="preserve">Emotion </w:t>
            </w:r>
          </w:p>
        </w:tc>
        <w:tc>
          <w:tcPr>
            <w:tcW w:w="1800" w:type="dxa"/>
            <w:vAlign w:val="center"/>
          </w:tcPr>
          <w:p w14:paraId="1085F2E0" w14:textId="5E06164F"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2A92B0A3" w14:textId="77777777" w:rsidR="00A10900" w:rsidRPr="00F03B2B" w:rsidRDefault="00A10900" w:rsidP="00A10900">
            <w:pPr>
              <w:pStyle w:val="ListParagraph"/>
              <w:numPr>
                <w:ilvl w:val="0"/>
                <w:numId w:val="11"/>
              </w:numPr>
              <w:rPr>
                <w:rFonts w:asciiTheme="minorHAnsi" w:hAnsiTheme="minorHAnsi" w:cstheme="minorHAnsi"/>
                <w:sz w:val="22"/>
                <w:szCs w:val="22"/>
              </w:rPr>
            </w:pPr>
            <w:r w:rsidRPr="00F03B2B">
              <w:rPr>
                <w:rFonts w:asciiTheme="minorHAnsi" w:hAnsiTheme="minorHAnsi" w:cstheme="minorHAnsi"/>
                <w:sz w:val="22"/>
                <w:szCs w:val="22"/>
              </w:rPr>
              <w:t xml:space="preserve">Banich, M.T. &amp; Compton, R. J. (2010). Emotion and Social Cognition. In Cognitive Neuroscience. Third Edition. (pp. 365-395). Wiley Blackwell </w:t>
            </w:r>
          </w:p>
          <w:p w14:paraId="18E58F38" w14:textId="77777777" w:rsidR="00DB79E2" w:rsidRPr="00F03B2B" w:rsidRDefault="00A10900" w:rsidP="00DB79E2">
            <w:pPr>
              <w:pStyle w:val="ListParagraph"/>
              <w:numPr>
                <w:ilvl w:val="0"/>
                <w:numId w:val="11"/>
              </w:numPr>
              <w:rPr>
                <w:rFonts w:asciiTheme="minorHAnsi" w:hAnsiTheme="minorHAnsi" w:cstheme="minorHAnsi"/>
                <w:sz w:val="22"/>
                <w:szCs w:val="22"/>
              </w:rPr>
            </w:pPr>
            <w:r w:rsidRPr="00F03B2B">
              <w:rPr>
                <w:rFonts w:asciiTheme="minorHAnsi" w:hAnsiTheme="minorHAnsi" w:cstheme="minorHAnsi"/>
                <w:sz w:val="22"/>
                <w:szCs w:val="22"/>
              </w:rPr>
              <w:t>Postle, B.R. (2015). Emotion. In Essentials of Cognitive Neuroscience. (pp. 476-502). Wiley Blackwell</w:t>
            </w:r>
          </w:p>
          <w:p w14:paraId="7DC3372A" w14:textId="420D7245" w:rsidR="00A10900" w:rsidRPr="00F03B2B" w:rsidRDefault="00A10900" w:rsidP="00DB79E2">
            <w:pPr>
              <w:pStyle w:val="ListParagraph"/>
              <w:numPr>
                <w:ilvl w:val="0"/>
                <w:numId w:val="11"/>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M.G. (2012). Emotion. In Principles of Cognitive Neuroscience. Second Edition. (pp. 319-359). Sinauer Associates</w:t>
            </w:r>
          </w:p>
        </w:tc>
      </w:tr>
      <w:tr w:rsidR="00A10900" w14:paraId="3B45BFA5" w14:textId="77777777" w:rsidTr="00A10900">
        <w:trPr>
          <w:jc w:val="center"/>
        </w:trPr>
        <w:tc>
          <w:tcPr>
            <w:tcW w:w="2605" w:type="dxa"/>
            <w:vAlign w:val="center"/>
          </w:tcPr>
          <w:p w14:paraId="34D931FA" w14:textId="612C8515" w:rsidR="00A10900" w:rsidRPr="00F03B2B" w:rsidRDefault="00A10900" w:rsidP="00A10900">
            <w:pPr>
              <w:numPr>
                <w:ilvl w:val="0"/>
                <w:numId w:val="4"/>
              </w:numPr>
              <w:pBdr>
                <w:top w:val="nil"/>
                <w:left w:val="nil"/>
                <w:bottom w:val="nil"/>
                <w:right w:val="nil"/>
                <w:between w:val="nil"/>
              </w:pBdr>
              <w:jc w:val="both"/>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Social cognition</w:t>
            </w:r>
          </w:p>
        </w:tc>
        <w:tc>
          <w:tcPr>
            <w:tcW w:w="1800" w:type="dxa"/>
            <w:vAlign w:val="center"/>
          </w:tcPr>
          <w:p w14:paraId="0B5F1C3D" w14:textId="2625E1B2"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16503438" w14:textId="77777777" w:rsidR="00A10900" w:rsidRPr="00F03B2B" w:rsidRDefault="00A10900" w:rsidP="00A10900">
            <w:pPr>
              <w:pStyle w:val="ListParagraph"/>
              <w:numPr>
                <w:ilvl w:val="0"/>
                <w:numId w:val="11"/>
              </w:numPr>
              <w:rPr>
                <w:rFonts w:asciiTheme="minorHAnsi" w:hAnsiTheme="minorHAnsi" w:cstheme="minorHAnsi"/>
                <w:sz w:val="22"/>
                <w:szCs w:val="22"/>
              </w:rPr>
            </w:pPr>
            <w:r w:rsidRPr="00F03B2B">
              <w:rPr>
                <w:rFonts w:asciiTheme="minorHAnsi" w:hAnsiTheme="minorHAnsi" w:cstheme="minorHAnsi"/>
                <w:sz w:val="22"/>
                <w:szCs w:val="22"/>
              </w:rPr>
              <w:t xml:space="preserve">Postle, B.R. (2015). Social </w:t>
            </w:r>
            <w:proofErr w:type="spellStart"/>
            <w:r w:rsidRPr="00F03B2B">
              <w:rPr>
                <w:rFonts w:asciiTheme="minorHAnsi" w:hAnsiTheme="minorHAnsi" w:cstheme="minorHAnsi"/>
                <w:sz w:val="22"/>
                <w:szCs w:val="22"/>
              </w:rPr>
              <w:t>Behavior</w:t>
            </w:r>
            <w:proofErr w:type="spellEnd"/>
            <w:r w:rsidRPr="00F03B2B">
              <w:rPr>
                <w:rFonts w:asciiTheme="minorHAnsi" w:hAnsiTheme="minorHAnsi" w:cstheme="minorHAnsi"/>
                <w:sz w:val="22"/>
                <w:szCs w:val="22"/>
              </w:rPr>
              <w:t>. In Essentials of Cognitive Neuroscience. (pp. 449-476). Wiley Blackwell</w:t>
            </w:r>
          </w:p>
          <w:p w14:paraId="4B9C2E2C" w14:textId="77777777" w:rsidR="00DB79E2" w:rsidRPr="00F03B2B" w:rsidRDefault="00A10900" w:rsidP="00DB79E2">
            <w:pPr>
              <w:pStyle w:val="ListParagraph"/>
              <w:numPr>
                <w:ilvl w:val="0"/>
                <w:numId w:val="11"/>
              </w:numPr>
              <w:rPr>
                <w:rFonts w:asciiTheme="minorHAnsi" w:hAnsiTheme="minorHAnsi" w:cstheme="minorHAnsi"/>
                <w:sz w:val="22"/>
                <w:szCs w:val="22"/>
              </w:rPr>
            </w:pPr>
            <w:proofErr w:type="spellStart"/>
            <w:r w:rsidRPr="00F03B2B">
              <w:rPr>
                <w:rFonts w:asciiTheme="minorHAnsi" w:hAnsiTheme="minorHAnsi" w:cstheme="minorHAnsi"/>
                <w:sz w:val="22"/>
                <w:szCs w:val="22"/>
              </w:rPr>
              <w:t>Purvas</w:t>
            </w:r>
            <w:proofErr w:type="spellEnd"/>
            <w:r w:rsidRPr="00F03B2B">
              <w:rPr>
                <w:rFonts w:asciiTheme="minorHAnsi" w:hAnsiTheme="minorHAnsi" w:cstheme="minorHAnsi"/>
                <w:sz w:val="22"/>
                <w:szCs w:val="22"/>
              </w:rPr>
              <w:t xml:space="preserve">, D., Cabeza, R., Huettel, S.A., LaBar, K.S., Platt., M.L., &amp; </w:t>
            </w:r>
            <w:proofErr w:type="spellStart"/>
            <w:r w:rsidRPr="00F03B2B">
              <w:rPr>
                <w:rFonts w:asciiTheme="minorHAnsi" w:hAnsiTheme="minorHAnsi" w:cstheme="minorHAnsi"/>
                <w:sz w:val="22"/>
                <w:szCs w:val="22"/>
              </w:rPr>
              <w:t>Woldorff</w:t>
            </w:r>
            <w:proofErr w:type="spellEnd"/>
            <w:r w:rsidRPr="00F03B2B">
              <w:rPr>
                <w:rFonts w:asciiTheme="minorHAnsi" w:hAnsiTheme="minorHAnsi" w:cstheme="minorHAnsi"/>
                <w:sz w:val="22"/>
                <w:szCs w:val="22"/>
              </w:rPr>
              <w:t>, M.G. (2012). Social Cognition. In Principles of Cognitive Neuroscience. Second Edition. (pp. 359-389). Sinauer Associates</w:t>
            </w:r>
          </w:p>
          <w:p w14:paraId="5ACB1086" w14:textId="47EC3438" w:rsidR="00A10900" w:rsidRPr="00F03B2B" w:rsidRDefault="00A10900" w:rsidP="00DB79E2">
            <w:pPr>
              <w:pStyle w:val="ListParagraph"/>
              <w:numPr>
                <w:ilvl w:val="0"/>
                <w:numId w:val="11"/>
              </w:numPr>
              <w:rPr>
                <w:rFonts w:asciiTheme="minorHAnsi" w:hAnsiTheme="minorHAnsi" w:cstheme="minorHAnsi"/>
                <w:sz w:val="22"/>
                <w:szCs w:val="22"/>
              </w:rPr>
            </w:pPr>
            <w:r w:rsidRPr="00F03B2B">
              <w:rPr>
                <w:rFonts w:asciiTheme="minorHAnsi" w:hAnsiTheme="minorHAnsi" w:cstheme="minorHAnsi"/>
                <w:sz w:val="22"/>
                <w:szCs w:val="22"/>
              </w:rPr>
              <w:t>Reuter-Lorenz, P.A., Baynes, K., Mangun, G.R., Phelps, E.A. (2010). The Social Brain. In The Cognitive Neuroscience of Mind. (pp. 123-223). The MIT Press</w:t>
            </w:r>
          </w:p>
        </w:tc>
      </w:tr>
      <w:tr w:rsidR="00A10900" w14:paraId="0278FAD2" w14:textId="77777777" w:rsidTr="00A10900">
        <w:trPr>
          <w:jc w:val="center"/>
        </w:trPr>
        <w:tc>
          <w:tcPr>
            <w:tcW w:w="2605" w:type="dxa"/>
            <w:vAlign w:val="center"/>
          </w:tcPr>
          <w:p w14:paraId="7DD5E40B" w14:textId="172B9FD4" w:rsidR="00A10900" w:rsidRPr="00F03B2B" w:rsidRDefault="00A10900" w:rsidP="00F03B2B">
            <w:pPr>
              <w:numPr>
                <w:ilvl w:val="0"/>
                <w:numId w:val="4"/>
              </w:numPr>
              <w:pBdr>
                <w:top w:val="nil"/>
                <w:left w:val="nil"/>
                <w:bottom w:val="nil"/>
                <w:right w:val="nil"/>
                <w:between w:val="nil"/>
              </w:pBdr>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lastRenderedPageBreak/>
              <w:t>Consciousness - Waking, Sleep, &amp; Anesthesia</w:t>
            </w:r>
          </w:p>
        </w:tc>
        <w:tc>
          <w:tcPr>
            <w:tcW w:w="1800" w:type="dxa"/>
            <w:vAlign w:val="center"/>
          </w:tcPr>
          <w:p w14:paraId="119A88AA" w14:textId="2378B2BE"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1ADF27CE" w14:textId="77777777" w:rsidR="00A10900" w:rsidRPr="00F03B2B" w:rsidRDefault="00A10900" w:rsidP="00A10900">
            <w:pPr>
              <w:pStyle w:val="NoSpacing"/>
              <w:numPr>
                <w:ilvl w:val="0"/>
                <w:numId w:val="8"/>
              </w:numPr>
              <w:rPr>
                <w:rFonts w:asciiTheme="minorHAnsi" w:hAnsiTheme="minorHAnsi" w:cstheme="minorHAnsi"/>
                <w:sz w:val="22"/>
                <w:szCs w:val="22"/>
              </w:rPr>
            </w:pPr>
            <w:r w:rsidRPr="00F03B2B">
              <w:rPr>
                <w:rFonts w:asciiTheme="minorHAnsi" w:hAnsiTheme="minorHAnsi" w:cstheme="minorHAnsi"/>
                <w:sz w:val="22"/>
                <w:szCs w:val="22"/>
              </w:rPr>
              <w:t xml:space="preserve">Laureys, S. &amp; </w:t>
            </w:r>
            <w:proofErr w:type="spellStart"/>
            <w:r w:rsidRPr="00F03B2B">
              <w:rPr>
                <w:rFonts w:asciiTheme="minorHAnsi" w:hAnsiTheme="minorHAnsi" w:cstheme="minorHAnsi"/>
                <w:sz w:val="22"/>
                <w:szCs w:val="22"/>
              </w:rPr>
              <w:t>Tononi</w:t>
            </w:r>
            <w:proofErr w:type="spellEnd"/>
            <w:r w:rsidRPr="00F03B2B">
              <w:rPr>
                <w:rFonts w:asciiTheme="minorHAnsi" w:hAnsiTheme="minorHAnsi" w:cstheme="minorHAnsi"/>
                <w:sz w:val="22"/>
                <w:szCs w:val="22"/>
              </w:rPr>
              <w:t xml:space="preserve">, G. (2009). Waking, Sleep, &amp; </w:t>
            </w:r>
            <w:proofErr w:type="spellStart"/>
            <w:r w:rsidRPr="00F03B2B">
              <w:rPr>
                <w:rFonts w:asciiTheme="minorHAnsi" w:hAnsiTheme="minorHAnsi" w:cstheme="minorHAnsi"/>
                <w:sz w:val="22"/>
                <w:szCs w:val="22"/>
              </w:rPr>
              <w:t>Anesthesia</w:t>
            </w:r>
            <w:proofErr w:type="spellEnd"/>
            <w:r w:rsidRPr="00F03B2B">
              <w:rPr>
                <w:rFonts w:asciiTheme="minorHAnsi" w:hAnsiTheme="minorHAnsi" w:cstheme="minorHAnsi"/>
                <w:sz w:val="22"/>
                <w:szCs w:val="22"/>
              </w:rPr>
              <w:t>. In The Neurology of Consciousness. Cognitive Neuroscience and Neuropathology. (pp.79-135) Elsevier</w:t>
            </w:r>
          </w:p>
          <w:p w14:paraId="70798F3D" w14:textId="0DD76234" w:rsidR="00A10900" w:rsidRPr="00F03B2B" w:rsidRDefault="00A10900" w:rsidP="00A10900">
            <w:pPr>
              <w:pStyle w:val="NoSpacing"/>
              <w:numPr>
                <w:ilvl w:val="0"/>
                <w:numId w:val="8"/>
              </w:numPr>
              <w:rPr>
                <w:rFonts w:asciiTheme="minorHAnsi" w:hAnsiTheme="minorHAnsi" w:cstheme="minorHAnsi"/>
                <w:sz w:val="22"/>
                <w:szCs w:val="22"/>
              </w:rPr>
            </w:pPr>
            <w:r w:rsidRPr="00F03B2B">
              <w:rPr>
                <w:rFonts w:asciiTheme="minorHAnsi" w:hAnsiTheme="minorHAnsi" w:cstheme="minorHAnsi"/>
                <w:sz w:val="22"/>
                <w:szCs w:val="22"/>
              </w:rPr>
              <w:t>Postle, B.R. (2015). Consciousness. In Essentials of Cognitive Neuroscience. (pp. 531-562). Wiley Blackwell</w:t>
            </w:r>
          </w:p>
        </w:tc>
      </w:tr>
      <w:tr w:rsidR="00A10900" w14:paraId="5C643D9C" w14:textId="77777777" w:rsidTr="00A10900">
        <w:trPr>
          <w:jc w:val="center"/>
        </w:trPr>
        <w:tc>
          <w:tcPr>
            <w:tcW w:w="2605" w:type="dxa"/>
            <w:vAlign w:val="center"/>
          </w:tcPr>
          <w:p w14:paraId="763AEDE1" w14:textId="015DFA56" w:rsidR="00A10900" w:rsidRPr="00F03B2B" w:rsidRDefault="00A10900" w:rsidP="00F03B2B">
            <w:pPr>
              <w:numPr>
                <w:ilvl w:val="0"/>
                <w:numId w:val="4"/>
              </w:numPr>
              <w:pBdr>
                <w:top w:val="nil"/>
                <w:left w:val="nil"/>
                <w:bottom w:val="nil"/>
                <w:right w:val="nil"/>
                <w:between w:val="nil"/>
              </w:pBdr>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Cognitive impairment and neurocognitive disorders</w:t>
            </w:r>
          </w:p>
        </w:tc>
        <w:tc>
          <w:tcPr>
            <w:tcW w:w="1800" w:type="dxa"/>
            <w:vAlign w:val="center"/>
          </w:tcPr>
          <w:p w14:paraId="4DC4B54B" w14:textId="5C4BF1CB"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6887F1AE" w14:textId="77777777" w:rsidR="00A10900" w:rsidRPr="00F03B2B" w:rsidRDefault="00A10900" w:rsidP="00A10900">
            <w:pPr>
              <w:pStyle w:val="ListParagraph"/>
              <w:numPr>
                <w:ilvl w:val="0"/>
                <w:numId w:val="11"/>
              </w:numPr>
              <w:rPr>
                <w:rFonts w:asciiTheme="minorHAnsi" w:hAnsiTheme="minorHAnsi" w:cstheme="minorHAnsi"/>
                <w:sz w:val="22"/>
                <w:szCs w:val="22"/>
              </w:rPr>
            </w:pPr>
            <w:r w:rsidRPr="00F03B2B">
              <w:rPr>
                <w:rFonts w:asciiTheme="minorHAnsi" w:hAnsiTheme="minorHAnsi" w:cstheme="minorHAnsi"/>
                <w:sz w:val="22"/>
                <w:szCs w:val="22"/>
              </w:rPr>
              <w:t>Banich, M.T. &amp; Compton, R. J. (2010). Generalized Cognitive Disorders. In Cognitive Neuroscience. Third Edition. (pp. 466-499). Wiley Blackwell</w:t>
            </w:r>
          </w:p>
          <w:p w14:paraId="424F807E" w14:textId="77777777" w:rsidR="00A10900" w:rsidRPr="00F03B2B" w:rsidRDefault="00A10900" w:rsidP="00A10900">
            <w:pPr>
              <w:pStyle w:val="NoSpacing"/>
              <w:numPr>
                <w:ilvl w:val="0"/>
                <w:numId w:val="11"/>
              </w:numPr>
              <w:rPr>
                <w:rFonts w:asciiTheme="minorHAnsi" w:hAnsiTheme="minorHAnsi" w:cstheme="minorHAnsi"/>
                <w:sz w:val="22"/>
                <w:szCs w:val="22"/>
              </w:rPr>
            </w:pPr>
            <w:r w:rsidRPr="00F03B2B">
              <w:rPr>
                <w:rFonts w:asciiTheme="minorHAnsi" w:hAnsiTheme="minorHAnsi" w:cstheme="minorHAnsi"/>
                <w:sz w:val="22"/>
                <w:szCs w:val="22"/>
              </w:rPr>
              <w:t>Beaumont, J.G. (2008). Degenerative Diseases and Profound Brain Injury. In Introduction to neuropsychology. (pp.159-180). Guilford Press</w:t>
            </w:r>
          </w:p>
          <w:p w14:paraId="7B20B035" w14:textId="77777777" w:rsidR="00A10900" w:rsidRPr="00F03B2B" w:rsidRDefault="00A10900" w:rsidP="00A10900">
            <w:pPr>
              <w:pStyle w:val="NoSpacing"/>
              <w:numPr>
                <w:ilvl w:val="0"/>
                <w:numId w:val="11"/>
              </w:numPr>
              <w:rPr>
                <w:rFonts w:asciiTheme="minorHAnsi" w:hAnsiTheme="minorHAnsi" w:cstheme="minorHAnsi"/>
                <w:sz w:val="22"/>
                <w:szCs w:val="22"/>
              </w:rPr>
            </w:pPr>
            <w:r w:rsidRPr="00F03B2B">
              <w:rPr>
                <w:rFonts w:asciiTheme="minorHAnsi" w:hAnsiTheme="minorHAnsi" w:cstheme="minorHAnsi"/>
                <w:sz w:val="22"/>
                <w:szCs w:val="22"/>
              </w:rPr>
              <w:t>D’Esposito, M. (2003). Neurological Foundations of Cognitive Neuroscience. MIT Press</w:t>
            </w:r>
          </w:p>
          <w:p w14:paraId="0E6BE606" w14:textId="2563A794" w:rsidR="00A10900" w:rsidRPr="00F03B2B" w:rsidRDefault="00A10900" w:rsidP="00A10900">
            <w:pPr>
              <w:pStyle w:val="NoSpacing"/>
              <w:numPr>
                <w:ilvl w:val="0"/>
                <w:numId w:val="11"/>
              </w:numPr>
              <w:rPr>
                <w:rFonts w:asciiTheme="minorHAnsi" w:hAnsiTheme="minorHAnsi" w:cstheme="minorHAnsi"/>
                <w:sz w:val="22"/>
                <w:szCs w:val="22"/>
              </w:rPr>
            </w:pPr>
            <w:r w:rsidRPr="00F03B2B">
              <w:rPr>
                <w:rFonts w:asciiTheme="minorHAnsi" w:hAnsiTheme="minorHAnsi" w:cstheme="minorHAnsi"/>
                <w:sz w:val="22"/>
                <w:szCs w:val="22"/>
              </w:rPr>
              <w:t xml:space="preserve">Laureys, S. &amp; </w:t>
            </w:r>
            <w:proofErr w:type="spellStart"/>
            <w:r w:rsidRPr="00F03B2B">
              <w:rPr>
                <w:rFonts w:asciiTheme="minorHAnsi" w:hAnsiTheme="minorHAnsi" w:cstheme="minorHAnsi"/>
                <w:sz w:val="22"/>
                <w:szCs w:val="22"/>
              </w:rPr>
              <w:t>Tononi</w:t>
            </w:r>
            <w:proofErr w:type="spellEnd"/>
            <w:r w:rsidRPr="00F03B2B">
              <w:rPr>
                <w:rFonts w:asciiTheme="minorHAnsi" w:hAnsiTheme="minorHAnsi" w:cstheme="minorHAnsi"/>
                <w:sz w:val="22"/>
                <w:szCs w:val="22"/>
              </w:rPr>
              <w:t>, G. (2009). Seizures, Splits, Neglects, and Assorted Disorders. In The Neurology of Consciousness. Cognitive Neuroscience and Neuropathology. (pp.245-360) Elsevier</w:t>
            </w:r>
          </w:p>
        </w:tc>
      </w:tr>
      <w:tr w:rsidR="00A10900" w14:paraId="1AD19018" w14:textId="77777777" w:rsidTr="00A10900">
        <w:trPr>
          <w:jc w:val="center"/>
        </w:trPr>
        <w:tc>
          <w:tcPr>
            <w:tcW w:w="2605" w:type="dxa"/>
            <w:vAlign w:val="center"/>
          </w:tcPr>
          <w:p w14:paraId="3858F3F5" w14:textId="03ACBCEF" w:rsidR="00A10900" w:rsidRPr="00F03B2B" w:rsidRDefault="00A10900" w:rsidP="00A10900">
            <w:pPr>
              <w:pStyle w:val="ListParagraph"/>
              <w:numPr>
                <w:ilvl w:val="0"/>
                <w:numId w:val="4"/>
              </w:numPr>
              <w:pBdr>
                <w:top w:val="nil"/>
                <w:left w:val="nil"/>
                <w:bottom w:val="nil"/>
                <w:right w:val="nil"/>
                <w:between w:val="nil"/>
              </w:pBdr>
              <w:rPr>
                <w:rFonts w:asciiTheme="minorHAnsi" w:eastAsia="Calibri" w:hAnsiTheme="minorHAnsi" w:cstheme="minorHAnsi"/>
                <w:b/>
                <w:color w:val="000000"/>
                <w:sz w:val="22"/>
                <w:szCs w:val="22"/>
              </w:rPr>
            </w:pPr>
            <w:r w:rsidRPr="00F03B2B">
              <w:rPr>
                <w:rFonts w:asciiTheme="minorHAnsi" w:hAnsiTheme="minorHAnsi" w:cstheme="minorHAnsi"/>
                <w:sz w:val="22"/>
                <w:szCs w:val="22"/>
                <w:lang w:val="en-US"/>
              </w:rPr>
              <w:t>Psychopathology</w:t>
            </w:r>
          </w:p>
        </w:tc>
        <w:tc>
          <w:tcPr>
            <w:tcW w:w="1800" w:type="dxa"/>
            <w:vAlign w:val="center"/>
          </w:tcPr>
          <w:p w14:paraId="4793D60B" w14:textId="777D67FD" w:rsidR="00A10900" w:rsidRPr="00F03B2B" w:rsidRDefault="00A10900" w:rsidP="00A10900">
            <w:pPr>
              <w:pBdr>
                <w:top w:val="nil"/>
                <w:left w:val="nil"/>
                <w:bottom w:val="nil"/>
                <w:right w:val="nil"/>
                <w:between w:val="nil"/>
              </w:pBdr>
              <w:jc w:val="center"/>
              <w:rPr>
                <w:rFonts w:asciiTheme="minorHAnsi" w:eastAsia="Calibri" w:hAnsiTheme="minorHAnsi" w:cstheme="minorHAnsi"/>
                <w:color w:val="000000"/>
                <w:sz w:val="22"/>
                <w:szCs w:val="22"/>
              </w:rPr>
            </w:pPr>
            <w:r w:rsidRPr="00F03B2B">
              <w:rPr>
                <w:rFonts w:asciiTheme="minorHAnsi" w:hAnsiTheme="minorHAnsi" w:cstheme="minorHAnsi"/>
                <w:sz w:val="22"/>
                <w:szCs w:val="22"/>
                <w:lang w:val="en-US"/>
              </w:rPr>
              <w:t>Lecture, demonstration, conversation, in-class exercises</w:t>
            </w:r>
          </w:p>
        </w:tc>
        <w:tc>
          <w:tcPr>
            <w:tcW w:w="5796" w:type="dxa"/>
            <w:vAlign w:val="center"/>
          </w:tcPr>
          <w:p w14:paraId="0D874E3F" w14:textId="2405C603" w:rsidR="00A10900" w:rsidRPr="00F03B2B" w:rsidRDefault="00A10900" w:rsidP="00F03B2B">
            <w:pPr>
              <w:pStyle w:val="ListParagraph"/>
              <w:numPr>
                <w:ilvl w:val="0"/>
                <w:numId w:val="11"/>
              </w:numPr>
              <w:rPr>
                <w:rFonts w:asciiTheme="minorHAnsi" w:hAnsiTheme="minorHAnsi" w:cstheme="minorHAnsi"/>
                <w:sz w:val="22"/>
                <w:szCs w:val="22"/>
              </w:rPr>
            </w:pPr>
            <w:r w:rsidRPr="00F03B2B">
              <w:rPr>
                <w:rFonts w:asciiTheme="minorHAnsi" w:hAnsiTheme="minorHAnsi" w:cstheme="minorHAnsi"/>
                <w:sz w:val="22"/>
                <w:szCs w:val="22"/>
              </w:rPr>
              <w:t xml:space="preserve">Banich, M.T. &amp; Compton, R. J. (2010). Psychopathology. In Cognitive Neuroscience. Third Edition. (pp. 395-428). Wiley Blackwell </w:t>
            </w:r>
          </w:p>
        </w:tc>
      </w:tr>
      <w:tr w:rsidR="00795C64" w14:paraId="53C4BC1B" w14:textId="77777777">
        <w:trPr>
          <w:jc w:val="center"/>
        </w:trPr>
        <w:tc>
          <w:tcPr>
            <w:tcW w:w="10201" w:type="dxa"/>
            <w:gridSpan w:val="3"/>
            <w:shd w:val="clear" w:color="auto" w:fill="FFFFFF"/>
          </w:tcPr>
          <w:p w14:paraId="7491ADF3" w14:textId="77777777" w:rsidR="00795C64" w:rsidRDefault="00403C47">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13CB3D30" w14:textId="77777777" w:rsidR="00795C64" w:rsidRDefault="00795C64">
            <w:pPr>
              <w:pBdr>
                <w:top w:val="nil"/>
                <w:left w:val="nil"/>
                <w:bottom w:val="nil"/>
                <w:right w:val="nil"/>
                <w:between w:val="nil"/>
              </w:pBdr>
              <w:rPr>
                <w:rFonts w:ascii="Calibri" w:eastAsia="Calibri" w:hAnsi="Calibri" w:cs="Calibri"/>
                <w:b/>
                <w:color w:val="000000"/>
              </w:rPr>
            </w:pPr>
          </w:p>
          <w:p w14:paraId="3E36E97F" w14:textId="77777777" w:rsidR="00B41DA8" w:rsidRPr="00B41DA8" w:rsidRDefault="00B41DA8" w:rsidP="00B41DA8">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Baars, B. J. &amp; Gage, N. M. (2012). Fundamentals of Cognitive Neuroscience. A Beginner’s Guide. Elsevier</w:t>
            </w:r>
          </w:p>
          <w:p w14:paraId="5BA881CE" w14:textId="77777777" w:rsidR="00B41DA8" w:rsidRPr="00B41DA8" w:rsidRDefault="00B41DA8" w:rsidP="00B41DA8">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Banich, M.T. &amp; Compton, R. J. (2010). Cognitive Neuroscience. Third Edition. Wadsworth</w:t>
            </w:r>
          </w:p>
          <w:p w14:paraId="6A889F6A" w14:textId="77777777" w:rsidR="00B41DA8" w:rsidRPr="00B41DA8" w:rsidRDefault="00B41DA8" w:rsidP="00B41DA8">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Beaumont, J.G. (2008). Introduction to neuropsychology. Guilford Press</w:t>
            </w:r>
          </w:p>
          <w:p w14:paraId="16588EB6" w14:textId="77777777" w:rsidR="00B41DA8" w:rsidRPr="00B41DA8" w:rsidRDefault="00B41DA8" w:rsidP="00B41DA8">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D’Esposito, M. (2003). Neurological Foundations of Cognitive Neuroscience. MIT Press</w:t>
            </w:r>
          </w:p>
          <w:p w14:paraId="5E67907E" w14:textId="77777777" w:rsidR="00B41DA8" w:rsidRPr="00B41DA8" w:rsidRDefault="00B41DA8" w:rsidP="00B41DA8">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 xml:space="preserve">Laureys, S. &amp; </w:t>
            </w:r>
            <w:proofErr w:type="spellStart"/>
            <w:r w:rsidRPr="00B41DA8">
              <w:rPr>
                <w:rFonts w:ascii="Calibri" w:eastAsia="Calibri" w:hAnsi="Calibri" w:cs="Calibri"/>
                <w:color w:val="000000"/>
              </w:rPr>
              <w:t>Tononi</w:t>
            </w:r>
            <w:proofErr w:type="spellEnd"/>
            <w:r w:rsidRPr="00B41DA8">
              <w:rPr>
                <w:rFonts w:ascii="Calibri" w:eastAsia="Calibri" w:hAnsi="Calibri" w:cs="Calibri"/>
                <w:color w:val="000000"/>
              </w:rPr>
              <w:t>, G. (2009). The Neurology of Consciousness. Cognitive Neuroscience and Neuropathology. Elsevier</w:t>
            </w:r>
          </w:p>
          <w:p w14:paraId="461F0A57" w14:textId="77777777" w:rsidR="00B41DA8" w:rsidRPr="00B41DA8" w:rsidRDefault="00B41DA8" w:rsidP="00B41DA8">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Postle, B. R. (2015). Essentials of Cognitive Neuroscience. Wiley Blackwell</w:t>
            </w:r>
          </w:p>
          <w:p w14:paraId="2FDC79E8" w14:textId="77777777" w:rsidR="00B41DA8" w:rsidRPr="00B41DA8" w:rsidRDefault="00B41DA8" w:rsidP="00B41DA8">
            <w:pPr>
              <w:numPr>
                <w:ilvl w:val="0"/>
                <w:numId w:val="2"/>
              </w:numPr>
              <w:pBdr>
                <w:top w:val="nil"/>
                <w:left w:val="nil"/>
                <w:bottom w:val="nil"/>
                <w:right w:val="nil"/>
                <w:between w:val="nil"/>
              </w:pBdr>
              <w:rPr>
                <w:rFonts w:ascii="Calibri" w:eastAsia="Calibri" w:hAnsi="Calibri" w:cs="Calibri"/>
                <w:color w:val="000000"/>
              </w:rPr>
            </w:pPr>
            <w:proofErr w:type="spellStart"/>
            <w:r w:rsidRPr="00B41DA8">
              <w:rPr>
                <w:rFonts w:ascii="Calibri" w:eastAsia="Calibri" w:hAnsi="Calibri" w:cs="Calibri"/>
                <w:color w:val="000000"/>
              </w:rPr>
              <w:t>Purvas</w:t>
            </w:r>
            <w:proofErr w:type="spellEnd"/>
            <w:r w:rsidRPr="00B41DA8">
              <w:rPr>
                <w:rFonts w:ascii="Calibri" w:eastAsia="Calibri" w:hAnsi="Calibri" w:cs="Calibri"/>
                <w:color w:val="000000"/>
              </w:rPr>
              <w:t xml:space="preserve">, D., Cabeza, R., Huettel, S.A., LaBar, K.S., Platt., M.L., &amp; </w:t>
            </w:r>
            <w:proofErr w:type="spellStart"/>
            <w:r w:rsidRPr="00B41DA8">
              <w:rPr>
                <w:rFonts w:ascii="Calibri" w:eastAsia="Calibri" w:hAnsi="Calibri" w:cs="Calibri"/>
                <w:color w:val="000000"/>
              </w:rPr>
              <w:t>Woldorff</w:t>
            </w:r>
            <w:proofErr w:type="spellEnd"/>
            <w:r w:rsidRPr="00B41DA8">
              <w:rPr>
                <w:rFonts w:ascii="Calibri" w:eastAsia="Calibri" w:hAnsi="Calibri" w:cs="Calibri"/>
                <w:color w:val="000000"/>
              </w:rPr>
              <w:t>, M.G. (2012). Principles of Cognitive Neuroscience. Second Edition. Sinauer Associates</w:t>
            </w:r>
          </w:p>
          <w:p w14:paraId="1CD28854" w14:textId="383D8C01" w:rsidR="00795C64" w:rsidRDefault="00B41DA8" w:rsidP="00B41DA8">
            <w:pPr>
              <w:numPr>
                <w:ilvl w:val="0"/>
                <w:numId w:val="2"/>
              </w:numPr>
              <w:rPr>
                <w:rFonts w:ascii="Calibri" w:eastAsia="Calibri" w:hAnsi="Calibri" w:cs="Calibri"/>
              </w:rPr>
            </w:pPr>
            <w:r w:rsidRPr="00B41DA8">
              <w:rPr>
                <w:rFonts w:ascii="Calibri" w:eastAsia="Calibri" w:hAnsi="Calibri" w:cs="Calibri"/>
                <w:color w:val="000000"/>
              </w:rPr>
              <w:t>Reuter-Lorenz, P.A., Baynes, K., Mangun, G.R., Phelps, E.A. (2010). The Cognitive Neuroscience of Mind. The MIT Press</w:t>
            </w:r>
          </w:p>
        </w:tc>
      </w:tr>
      <w:tr w:rsidR="00795C64" w14:paraId="351863E1" w14:textId="77777777" w:rsidTr="00A10900">
        <w:trPr>
          <w:jc w:val="center"/>
        </w:trPr>
        <w:tc>
          <w:tcPr>
            <w:tcW w:w="2605" w:type="dxa"/>
            <w:tcBorders>
              <w:top w:val="single" w:sz="4" w:space="0" w:color="000000"/>
              <w:left w:val="single" w:sz="4" w:space="0" w:color="000000"/>
              <w:bottom w:val="single" w:sz="4" w:space="0" w:color="000000"/>
              <w:right w:val="single" w:sz="4" w:space="0" w:color="000000"/>
            </w:tcBorders>
          </w:tcPr>
          <w:p w14:paraId="3D713D7D" w14:textId="77777777" w:rsidR="00795C64" w:rsidRDefault="00403C47">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7.2. Seminar</w:t>
            </w:r>
          </w:p>
        </w:tc>
        <w:tc>
          <w:tcPr>
            <w:tcW w:w="1800" w:type="dxa"/>
            <w:tcBorders>
              <w:top w:val="single" w:sz="4" w:space="0" w:color="000000"/>
              <w:left w:val="single" w:sz="4" w:space="0" w:color="000000"/>
              <w:bottom w:val="single" w:sz="4" w:space="0" w:color="000000"/>
              <w:right w:val="single" w:sz="4" w:space="0" w:color="000000"/>
            </w:tcBorders>
          </w:tcPr>
          <w:p w14:paraId="3C50AA8B" w14:textId="77777777" w:rsidR="00795C64" w:rsidRDefault="00403C47">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5796" w:type="dxa"/>
            <w:tcBorders>
              <w:top w:val="single" w:sz="4" w:space="0" w:color="000000"/>
              <w:left w:val="single" w:sz="4" w:space="0" w:color="000000"/>
              <w:bottom w:val="single" w:sz="4" w:space="0" w:color="000000"/>
              <w:right w:val="single" w:sz="4" w:space="0" w:color="000000"/>
            </w:tcBorders>
          </w:tcPr>
          <w:p w14:paraId="7DAB70EE" w14:textId="77777777" w:rsidR="00795C64" w:rsidRDefault="00403C47">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8A2E93" w14:paraId="0F3833F4" w14:textId="77777777" w:rsidTr="005C16B0">
        <w:trPr>
          <w:jc w:val="center"/>
        </w:trPr>
        <w:tc>
          <w:tcPr>
            <w:tcW w:w="2605" w:type="dxa"/>
            <w:vAlign w:val="center"/>
          </w:tcPr>
          <w:p w14:paraId="03BC8D87" w14:textId="3FAC99A2" w:rsidR="008A2E93" w:rsidRPr="004F02B5" w:rsidRDefault="004F02B5" w:rsidP="004F02B5">
            <w:pPr>
              <w:pBdr>
                <w:top w:val="nil"/>
                <w:left w:val="nil"/>
                <w:bottom w:val="nil"/>
                <w:right w:val="nil"/>
                <w:between w:val="nil"/>
              </w:pBdr>
              <w:rPr>
                <w:rFonts w:asciiTheme="minorHAnsi" w:eastAsia="Calibri" w:hAnsiTheme="minorHAnsi" w:cstheme="minorHAnsi"/>
                <w:b/>
                <w:color w:val="000000"/>
                <w:sz w:val="22"/>
                <w:szCs w:val="22"/>
              </w:rPr>
            </w:pPr>
            <w:r>
              <w:rPr>
                <w:rFonts w:asciiTheme="minorHAnsi" w:hAnsiTheme="minorHAnsi" w:cstheme="minorHAnsi"/>
                <w:sz w:val="22"/>
                <w:szCs w:val="22"/>
              </w:rPr>
              <w:t xml:space="preserve">1. </w:t>
            </w:r>
            <w:r w:rsidR="008A2E93" w:rsidRPr="004F02B5">
              <w:rPr>
                <w:rFonts w:asciiTheme="minorHAnsi" w:hAnsiTheme="minorHAnsi" w:cstheme="minorHAnsi"/>
                <w:sz w:val="22"/>
                <w:szCs w:val="22"/>
              </w:rPr>
              <w:t xml:space="preserve">Introduction to cognitive neuroscience – brain-mind </w:t>
            </w:r>
            <w:proofErr w:type="spellStart"/>
            <w:r w:rsidR="008A2E93" w:rsidRPr="004F02B5">
              <w:rPr>
                <w:rFonts w:asciiTheme="minorHAnsi" w:hAnsiTheme="minorHAnsi" w:cstheme="minorHAnsi"/>
                <w:sz w:val="22"/>
                <w:szCs w:val="22"/>
              </w:rPr>
              <w:t>behavior</w:t>
            </w:r>
            <w:proofErr w:type="spellEnd"/>
          </w:p>
        </w:tc>
        <w:tc>
          <w:tcPr>
            <w:tcW w:w="1800" w:type="dxa"/>
            <w:vAlign w:val="center"/>
          </w:tcPr>
          <w:p w14:paraId="738E1EE6" w14:textId="092A7807"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Presentation, exercises, conversation</w:t>
            </w:r>
          </w:p>
        </w:tc>
        <w:tc>
          <w:tcPr>
            <w:tcW w:w="5796" w:type="dxa"/>
            <w:vAlign w:val="center"/>
          </w:tcPr>
          <w:p w14:paraId="3D4B5C4A"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Organization of seminars. Discussion of topics. Q&amp;A</w:t>
            </w:r>
          </w:p>
          <w:p w14:paraId="2E4459DD" w14:textId="0F20621F"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Presentation of PBL principles. Setting PBL work groups. Assignment of problems</w:t>
            </w:r>
          </w:p>
        </w:tc>
      </w:tr>
      <w:tr w:rsidR="008A2E93" w14:paraId="353B59B6" w14:textId="77777777" w:rsidTr="005C16B0">
        <w:trPr>
          <w:jc w:val="center"/>
        </w:trPr>
        <w:tc>
          <w:tcPr>
            <w:tcW w:w="2605" w:type="dxa"/>
            <w:vAlign w:val="center"/>
          </w:tcPr>
          <w:p w14:paraId="7A2DC1BF" w14:textId="3A009410" w:rsidR="008A2E93" w:rsidRPr="004F02B5" w:rsidRDefault="004F02B5" w:rsidP="004F02B5">
            <w:pPr>
              <w:pBdr>
                <w:top w:val="nil"/>
                <w:left w:val="nil"/>
                <w:bottom w:val="nil"/>
                <w:right w:val="nil"/>
                <w:between w:val="nil"/>
              </w:pBdr>
              <w:rPr>
                <w:rFonts w:asciiTheme="minorHAnsi" w:eastAsia="Calibri" w:hAnsiTheme="minorHAnsi" w:cstheme="minorHAnsi"/>
                <w:b/>
                <w:color w:val="000000"/>
                <w:sz w:val="22"/>
                <w:szCs w:val="22"/>
              </w:rPr>
            </w:pPr>
            <w:r>
              <w:rPr>
                <w:rFonts w:asciiTheme="minorHAnsi" w:hAnsiTheme="minorHAnsi" w:cstheme="minorHAnsi"/>
                <w:sz w:val="22"/>
                <w:szCs w:val="22"/>
              </w:rPr>
              <w:t xml:space="preserve">2. </w:t>
            </w:r>
            <w:r w:rsidR="008A2E93" w:rsidRPr="004F02B5">
              <w:rPr>
                <w:rFonts w:asciiTheme="minorHAnsi" w:hAnsiTheme="minorHAnsi" w:cstheme="minorHAnsi"/>
                <w:sz w:val="22"/>
                <w:szCs w:val="22"/>
              </w:rPr>
              <w:t xml:space="preserve">Hemispheric specialization and lobe functions </w:t>
            </w:r>
          </w:p>
        </w:tc>
        <w:tc>
          <w:tcPr>
            <w:tcW w:w="1800" w:type="dxa"/>
            <w:vAlign w:val="center"/>
          </w:tcPr>
          <w:p w14:paraId="486EBFBC" w14:textId="6986B741"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conversation, quiz </w:t>
            </w:r>
          </w:p>
        </w:tc>
        <w:tc>
          <w:tcPr>
            <w:tcW w:w="5796" w:type="dxa"/>
            <w:vAlign w:val="center"/>
          </w:tcPr>
          <w:p w14:paraId="703121CF"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27EB034D"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demo</w:t>
            </w:r>
          </w:p>
          <w:p w14:paraId="7DEA799C"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5BBE792B" w14:textId="2748514E"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001EEC77" w14:textId="77777777" w:rsidTr="005C16B0">
        <w:trPr>
          <w:jc w:val="center"/>
        </w:trPr>
        <w:tc>
          <w:tcPr>
            <w:tcW w:w="2605" w:type="dxa"/>
            <w:vAlign w:val="center"/>
          </w:tcPr>
          <w:p w14:paraId="40ED74F5" w14:textId="2FC1C041"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lastRenderedPageBreak/>
              <w:t>3. Perception &amp; Orientation</w:t>
            </w:r>
          </w:p>
        </w:tc>
        <w:tc>
          <w:tcPr>
            <w:tcW w:w="1800" w:type="dxa"/>
            <w:vAlign w:val="center"/>
          </w:tcPr>
          <w:p w14:paraId="70ACACAC" w14:textId="4064DE29"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78ABA062"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6B34D978"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6587B2D3"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2B69423D" w14:textId="21E42797"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34CB1F0B" w14:textId="77777777" w:rsidTr="005C16B0">
        <w:trPr>
          <w:jc w:val="center"/>
        </w:trPr>
        <w:tc>
          <w:tcPr>
            <w:tcW w:w="2605" w:type="dxa"/>
            <w:vAlign w:val="center"/>
          </w:tcPr>
          <w:p w14:paraId="3D623D97" w14:textId="5C20C85E"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4. Motor Control</w:t>
            </w:r>
          </w:p>
        </w:tc>
        <w:tc>
          <w:tcPr>
            <w:tcW w:w="1800" w:type="dxa"/>
            <w:vAlign w:val="center"/>
          </w:tcPr>
          <w:p w14:paraId="7CE191B6" w14:textId="70B3A5D9"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36EE5EA8"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71B2315D"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5C1CB0EC"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749FE2C2" w14:textId="53BC3C8D"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26F88D1A" w14:textId="77777777" w:rsidTr="005C16B0">
        <w:trPr>
          <w:jc w:val="center"/>
        </w:trPr>
        <w:tc>
          <w:tcPr>
            <w:tcW w:w="2605" w:type="dxa"/>
            <w:vAlign w:val="center"/>
          </w:tcPr>
          <w:p w14:paraId="5F58F55A" w14:textId="776BDFDC"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5. Language &amp; communication</w:t>
            </w:r>
          </w:p>
        </w:tc>
        <w:tc>
          <w:tcPr>
            <w:tcW w:w="1800" w:type="dxa"/>
            <w:vAlign w:val="center"/>
          </w:tcPr>
          <w:p w14:paraId="72C96D1C" w14:textId="0077F7AF"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Presentation, exercises, quiz</w:t>
            </w:r>
          </w:p>
        </w:tc>
        <w:tc>
          <w:tcPr>
            <w:tcW w:w="5796" w:type="dxa"/>
          </w:tcPr>
          <w:p w14:paraId="15659253"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74AB31E6"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66A62F4A"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346BCF32" w14:textId="10710D51"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2362BFD9" w14:textId="77777777" w:rsidTr="005C16B0">
        <w:trPr>
          <w:jc w:val="center"/>
        </w:trPr>
        <w:tc>
          <w:tcPr>
            <w:tcW w:w="2605" w:type="dxa"/>
            <w:vAlign w:val="center"/>
          </w:tcPr>
          <w:p w14:paraId="2849F36A" w14:textId="5C189153"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6. Attention</w:t>
            </w:r>
          </w:p>
        </w:tc>
        <w:tc>
          <w:tcPr>
            <w:tcW w:w="1800" w:type="dxa"/>
            <w:vAlign w:val="center"/>
          </w:tcPr>
          <w:p w14:paraId="380C0299" w14:textId="358C0022"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Presentation, exercises, quiz</w:t>
            </w:r>
          </w:p>
        </w:tc>
        <w:tc>
          <w:tcPr>
            <w:tcW w:w="5796" w:type="dxa"/>
          </w:tcPr>
          <w:p w14:paraId="56EDF02B"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012376F8"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4897B74C"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3FCC804C" w14:textId="7F5FC915"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42252A65" w14:textId="77777777" w:rsidTr="005C16B0">
        <w:trPr>
          <w:jc w:val="center"/>
        </w:trPr>
        <w:tc>
          <w:tcPr>
            <w:tcW w:w="2605" w:type="dxa"/>
            <w:vAlign w:val="center"/>
          </w:tcPr>
          <w:p w14:paraId="1E66B250" w14:textId="18B21435"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7. Memory and learning</w:t>
            </w:r>
          </w:p>
        </w:tc>
        <w:tc>
          <w:tcPr>
            <w:tcW w:w="1800" w:type="dxa"/>
            <w:vAlign w:val="center"/>
          </w:tcPr>
          <w:p w14:paraId="64D36FAB" w14:textId="02BDE630"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4A346401"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56ED466B"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67B34F5C"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1E6FCD56" w14:textId="64F86A1D"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5494AB47" w14:textId="77777777" w:rsidTr="005C16B0">
        <w:trPr>
          <w:jc w:val="center"/>
        </w:trPr>
        <w:tc>
          <w:tcPr>
            <w:tcW w:w="2605" w:type="dxa"/>
            <w:vAlign w:val="center"/>
          </w:tcPr>
          <w:p w14:paraId="26D8297A" w14:textId="290BD7BE"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8. Thinking and problem solving</w:t>
            </w:r>
          </w:p>
        </w:tc>
        <w:tc>
          <w:tcPr>
            <w:tcW w:w="1800" w:type="dxa"/>
            <w:vAlign w:val="center"/>
          </w:tcPr>
          <w:p w14:paraId="4DBBFD6B" w14:textId="46605B81"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79A348A3"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0826A12F"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4D02473D"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3FF5D261" w14:textId="6B73CDB8"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4E5C9FA7" w14:textId="77777777" w:rsidTr="005C16B0">
        <w:trPr>
          <w:jc w:val="center"/>
        </w:trPr>
        <w:tc>
          <w:tcPr>
            <w:tcW w:w="2605" w:type="dxa"/>
            <w:vAlign w:val="center"/>
          </w:tcPr>
          <w:p w14:paraId="6CC4772B" w14:textId="54A7EE86"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9. Executive functions</w:t>
            </w:r>
          </w:p>
        </w:tc>
        <w:tc>
          <w:tcPr>
            <w:tcW w:w="1800" w:type="dxa"/>
            <w:vAlign w:val="center"/>
          </w:tcPr>
          <w:p w14:paraId="481C9AD7" w14:textId="49766D0F"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5F42C53E"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1F95D1D6"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519FD150"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0C6D0B71" w14:textId="7B2DCA58"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559C76B0" w14:textId="77777777" w:rsidTr="005C16B0">
        <w:trPr>
          <w:jc w:val="center"/>
        </w:trPr>
        <w:tc>
          <w:tcPr>
            <w:tcW w:w="2605" w:type="dxa"/>
            <w:vAlign w:val="center"/>
          </w:tcPr>
          <w:p w14:paraId="5265ACF2" w14:textId="26B87B78"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 xml:space="preserve">10. Emotion </w:t>
            </w:r>
          </w:p>
        </w:tc>
        <w:tc>
          <w:tcPr>
            <w:tcW w:w="1800" w:type="dxa"/>
            <w:vAlign w:val="center"/>
          </w:tcPr>
          <w:p w14:paraId="21A8B39B" w14:textId="0E657AD8"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6626788C"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6CEB8905"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22F46FD1"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5FFF062B" w14:textId="16726717"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7E72D161" w14:textId="77777777" w:rsidTr="005C16B0">
        <w:trPr>
          <w:jc w:val="center"/>
        </w:trPr>
        <w:tc>
          <w:tcPr>
            <w:tcW w:w="2605" w:type="dxa"/>
            <w:vAlign w:val="center"/>
          </w:tcPr>
          <w:p w14:paraId="6E821A52" w14:textId="3DE99FBE"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11. Social cognition</w:t>
            </w:r>
          </w:p>
        </w:tc>
        <w:tc>
          <w:tcPr>
            <w:tcW w:w="1800" w:type="dxa"/>
            <w:vAlign w:val="center"/>
          </w:tcPr>
          <w:p w14:paraId="1038BA92" w14:textId="46A21351"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52CBD55A"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70C4D01C"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4970AA06"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6B5A3366" w14:textId="023778BB"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3F668B6A" w14:textId="77777777" w:rsidTr="005C16B0">
        <w:trPr>
          <w:jc w:val="center"/>
        </w:trPr>
        <w:tc>
          <w:tcPr>
            <w:tcW w:w="2605" w:type="dxa"/>
            <w:vAlign w:val="center"/>
          </w:tcPr>
          <w:p w14:paraId="15D763DC" w14:textId="251F5B87"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 xml:space="preserve">12. Consciousness- Waking, Sleep, &amp; </w:t>
            </w:r>
            <w:proofErr w:type="spellStart"/>
            <w:r w:rsidRPr="004F02B5">
              <w:rPr>
                <w:rFonts w:asciiTheme="minorHAnsi" w:hAnsiTheme="minorHAnsi" w:cstheme="minorHAnsi"/>
                <w:sz w:val="22"/>
                <w:szCs w:val="22"/>
              </w:rPr>
              <w:t>Anesthesia</w:t>
            </w:r>
            <w:proofErr w:type="spellEnd"/>
          </w:p>
        </w:tc>
        <w:tc>
          <w:tcPr>
            <w:tcW w:w="1800" w:type="dxa"/>
            <w:vAlign w:val="center"/>
          </w:tcPr>
          <w:p w14:paraId="031EBEE0" w14:textId="3F07095C"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0BFEEB90"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4D9F9E52"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7F8993AA"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4D8D4395" w14:textId="5BF2E5D4"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358824B5" w14:textId="77777777" w:rsidTr="005C16B0">
        <w:trPr>
          <w:jc w:val="center"/>
        </w:trPr>
        <w:tc>
          <w:tcPr>
            <w:tcW w:w="2605" w:type="dxa"/>
            <w:vAlign w:val="center"/>
          </w:tcPr>
          <w:p w14:paraId="2C132D27" w14:textId="1067E6A3"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13. Cognitive impairment and neurocognitive disorders</w:t>
            </w:r>
          </w:p>
        </w:tc>
        <w:tc>
          <w:tcPr>
            <w:tcW w:w="1800" w:type="dxa"/>
            <w:vAlign w:val="center"/>
          </w:tcPr>
          <w:p w14:paraId="76B7EED5" w14:textId="7D07AEE9"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2ACE2D96"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42B7A098"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1998BD8A"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09524E07" w14:textId="13AC1434"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8A2E93" w14:paraId="638F301A" w14:textId="77777777" w:rsidTr="005C16B0">
        <w:trPr>
          <w:jc w:val="center"/>
        </w:trPr>
        <w:tc>
          <w:tcPr>
            <w:tcW w:w="2605" w:type="dxa"/>
            <w:vAlign w:val="center"/>
          </w:tcPr>
          <w:p w14:paraId="42F4F624" w14:textId="4B8FC3CA"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sz w:val="22"/>
                <w:szCs w:val="22"/>
              </w:rPr>
              <w:t>14. Psychopathology</w:t>
            </w:r>
          </w:p>
        </w:tc>
        <w:tc>
          <w:tcPr>
            <w:tcW w:w="1800" w:type="dxa"/>
            <w:vAlign w:val="center"/>
          </w:tcPr>
          <w:p w14:paraId="4A939A5F" w14:textId="6556FF5C" w:rsidR="008A2E93" w:rsidRPr="004F02B5" w:rsidRDefault="008A2E93" w:rsidP="008A2E93">
            <w:pPr>
              <w:pBdr>
                <w:top w:val="nil"/>
                <w:left w:val="nil"/>
                <w:bottom w:val="nil"/>
                <w:right w:val="nil"/>
                <w:between w:val="nil"/>
              </w:pBdr>
              <w:jc w:val="center"/>
              <w:rPr>
                <w:rFonts w:asciiTheme="minorHAnsi" w:eastAsia="Calibri" w:hAnsiTheme="minorHAnsi" w:cstheme="minorHAnsi"/>
                <w:color w:val="000000"/>
                <w:sz w:val="22"/>
                <w:szCs w:val="22"/>
              </w:rPr>
            </w:pPr>
            <w:r w:rsidRPr="004F02B5">
              <w:rPr>
                <w:rFonts w:asciiTheme="minorHAnsi" w:hAnsiTheme="minorHAnsi" w:cstheme="minorHAnsi"/>
                <w:bCs/>
                <w:sz w:val="22"/>
                <w:szCs w:val="22"/>
              </w:rPr>
              <w:t xml:space="preserve">Presentation, exercises, quiz </w:t>
            </w:r>
          </w:p>
        </w:tc>
        <w:tc>
          <w:tcPr>
            <w:tcW w:w="5796" w:type="dxa"/>
          </w:tcPr>
          <w:p w14:paraId="558F6A9A"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Quiz from the course</w:t>
            </w:r>
          </w:p>
          <w:p w14:paraId="79F96B49"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PBL presentation</w:t>
            </w:r>
          </w:p>
          <w:p w14:paraId="7095CB73" w14:textId="77777777" w:rsidR="008A2E93" w:rsidRPr="004F02B5" w:rsidRDefault="008A2E93" w:rsidP="008A2E93">
            <w:pPr>
              <w:pStyle w:val="NoSpacing"/>
              <w:rPr>
                <w:rFonts w:asciiTheme="minorHAnsi" w:hAnsiTheme="minorHAnsi" w:cstheme="minorHAnsi"/>
                <w:bCs/>
                <w:sz w:val="22"/>
                <w:szCs w:val="22"/>
              </w:rPr>
            </w:pPr>
            <w:r w:rsidRPr="004F02B5">
              <w:rPr>
                <w:rFonts w:asciiTheme="minorHAnsi" w:hAnsiTheme="minorHAnsi" w:cstheme="minorHAnsi"/>
                <w:bCs/>
                <w:sz w:val="22"/>
                <w:szCs w:val="22"/>
              </w:rPr>
              <w:t>Q&amp;A</w:t>
            </w:r>
          </w:p>
          <w:p w14:paraId="1B95F971" w14:textId="3DAAE567" w:rsidR="008A2E93" w:rsidRPr="004F02B5" w:rsidRDefault="008A2E93" w:rsidP="008A2E93">
            <w:pPr>
              <w:pBdr>
                <w:top w:val="nil"/>
                <w:left w:val="nil"/>
                <w:bottom w:val="nil"/>
                <w:right w:val="nil"/>
                <w:between w:val="nil"/>
              </w:pBdr>
              <w:rPr>
                <w:rFonts w:asciiTheme="minorHAnsi" w:eastAsia="Calibri" w:hAnsiTheme="minorHAnsi" w:cstheme="minorHAnsi"/>
                <w:b/>
                <w:color w:val="000000"/>
                <w:sz w:val="22"/>
                <w:szCs w:val="22"/>
              </w:rPr>
            </w:pPr>
            <w:r w:rsidRPr="004F02B5">
              <w:rPr>
                <w:rFonts w:asciiTheme="minorHAnsi" w:hAnsiTheme="minorHAnsi" w:cstheme="minorHAnsi"/>
                <w:bCs/>
                <w:sz w:val="22"/>
                <w:szCs w:val="22"/>
              </w:rPr>
              <w:t>Conclusions and takeaways</w:t>
            </w:r>
          </w:p>
        </w:tc>
      </w:tr>
      <w:tr w:rsidR="00795C64" w14:paraId="0C75607E" w14:textId="77777777">
        <w:trPr>
          <w:jc w:val="center"/>
        </w:trPr>
        <w:tc>
          <w:tcPr>
            <w:tcW w:w="10201" w:type="dxa"/>
            <w:gridSpan w:val="3"/>
            <w:shd w:val="clear" w:color="auto" w:fill="FFFFFF"/>
          </w:tcPr>
          <w:p w14:paraId="6F72B87E" w14:textId="77777777" w:rsidR="00795C64" w:rsidRDefault="00403C47">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3040FAD4" w14:textId="77777777" w:rsidR="004F02B5" w:rsidRPr="00B41DA8" w:rsidRDefault="004F02B5" w:rsidP="004F02B5">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lastRenderedPageBreak/>
              <w:t>Baars, B. J. &amp; Gage, N. M. (2012). Fundamentals of Cognitive Neuroscience. A Beginner’s Guide. Elsevier</w:t>
            </w:r>
          </w:p>
          <w:p w14:paraId="47E35C40" w14:textId="77777777" w:rsidR="004F02B5" w:rsidRPr="00B41DA8" w:rsidRDefault="004F02B5" w:rsidP="004F02B5">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Banich, M.T. &amp; Compton, R. J. (2010). Cognitive Neuroscience. Third Edition. Wadsworth</w:t>
            </w:r>
          </w:p>
          <w:p w14:paraId="7856D6CB" w14:textId="77777777" w:rsidR="004F02B5" w:rsidRPr="00B41DA8" w:rsidRDefault="004F02B5" w:rsidP="004F02B5">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Beaumont, J.G. (2008). Introduction to neuropsychology. Guilford Press</w:t>
            </w:r>
          </w:p>
          <w:p w14:paraId="367B17E4" w14:textId="77777777" w:rsidR="004F02B5" w:rsidRPr="00B41DA8" w:rsidRDefault="004F02B5" w:rsidP="004F02B5">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D’Esposito, M. (2003). Neurological Foundations of Cognitive Neuroscience. MIT Press</w:t>
            </w:r>
          </w:p>
          <w:p w14:paraId="2B506045" w14:textId="77777777" w:rsidR="004F02B5" w:rsidRPr="00B41DA8" w:rsidRDefault="004F02B5" w:rsidP="004F02B5">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 xml:space="preserve">Laureys, S. &amp; </w:t>
            </w:r>
            <w:proofErr w:type="spellStart"/>
            <w:r w:rsidRPr="00B41DA8">
              <w:rPr>
                <w:rFonts w:ascii="Calibri" w:eastAsia="Calibri" w:hAnsi="Calibri" w:cs="Calibri"/>
                <w:color w:val="000000"/>
              </w:rPr>
              <w:t>Tononi</w:t>
            </w:r>
            <w:proofErr w:type="spellEnd"/>
            <w:r w:rsidRPr="00B41DA8">
              <w:rPr>
                <w:rFonts w:ascii="Calibri" w:eastAsia="Calibri" w:hAnsi="Calibri" w:cs="Calibri"/>
                <w:color w:val="000000"/>
              </w:rPr>
              <w:t>, G. (2009). The Neurology of Consciousness. Cognitive Neuroscience and Neuropathology. Elsevier</w:t>
            </w:r>
          </w:p>
          <w:p w14:paraId="4589F3C2" w14:textId="77777777" w:rsidR="004F02B5" w:rsidRPr="00B41DA8" w:rsidRDefault="004F02B5" w:rsidP="004F02B5">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Postle, B. R. (2015). Essentials of Cognitive Neuroscience. Wiley Blackwell</w:t>
            </w:r>
          </w:p>
          <w:p w14:paraId="58593842" w14:textId="77777777" w:rsidR="004F02B5" w:rsidRPr="00B41DA8" w:rsidRDefault="004F02B5" w:rsidP="004F02B5">
            <w:pPr>
              <w:numPr>
                <w:ilvl w:val="0"/>
                <w:numId w:val="2"/>
              </w:numPr>
              <w:pBdr>
                <w:top w:val="nil"/>
                <w:left w:val="nil"/>
                <w:bottom w:val="nil"/>
                <w:right w:val="nil"/>
                <w:between w:val="nil"/>
              </w:pBdr>
              <w:rPr>
                <w:rFonts w:ascii="Calibri" w:eastAsia="Calibri" w:hAnsi="Calibri" w:cs="Calibri"/>
                <w:color w:val="000000"/>
              </w:rPr>
            </w:pPr>
            <w:proofErr w:type="spellStart"/>
            <w:r w:rsidRPr="00B41DA8">
              <w:rPr>
                <w:rFonts w:ascii="Calibri" w:eastAsia="Calibri" w:hAnsi="Calibri" w:cs="Calibri"/>
                <w:color w:val="000000"/>
              </w:rPr>
              <w:t>Purvas</w:t>
            </w:r>
            <w:proofErr w:type="spellEnd"/>
            <w:r w:rsidRPr="00B41DA8">
              <w:rPr>
                <w:rFonts w:ascii="Calibri" w:eastAsia="Calibri" w:hAnsi="Calibri" w:cs="Calibri"/>
                <w:color w:val="000000"/>
              </w:rPr>
              <w:t xml:space="preserve">, D., Cabeza, R., Huettel, S.A., LaBar, K.S., Platt., M.L., &amp; </w:t>
            </w:r>
            <w:proofErr w:type="spellStart"/>
            <w:r w:rsidRPr="00B41DA8">
              <w:rPr>
                <w:rFonts w:ascii="Calibri" w:eastAsia="Calibri" w:hAnsi="Calibri" w:cs="Calibri"/>
                <w:color w:val="000000"/>
              </w:rPr>
              <w:t>Woldorff</w:t>
            </w:r>
            <w:proofErr w:type="spellEnd"/>
            <w:r w:rsidRPr="00B41DA8">
              <w:rPr>
                <w:rFonts w:ascii="Calibri" w:eastAsia="Calibri" w:hAnsi="Calibri" w:cs="Calibri"/>
                <w:color w:val="000000"/>
              </w:rPr>
              <w:t>, M.G. (2012). Principles of Cognitive Neuroscience. Second Edition. Sinauer Associates</w:t>
            </w:r>
          </w:p>
          <w:p w14:paraId="02E0FDCD" w14:textId="71D0338F" w:rsidR="00795C64" w:rsidRDefault="004F02B5" w:rsidP="004F02B5">
            <w:pPr>
              <w:numPr>
                <w:ilvl w:val="0"/>
                <w:numId w:val="2"/>
              </w:numPr>
              <w:pBdr>
                <w:top w:val="nil"/>
                <w:left w:val="nil"/>
                <w:bottom w:val="nil"/>
                <w:right w:val="nil"/>
                <w:between w:val="nil"/>
              </w:pBdr>
              <w:rPr>
                <w:rFonts w:ascii="Calibri" w:eastAsia="Calibri" w:hAnsi="Calibri" w:cs="Calibri"/>
                <w:color w:val="000000"/>
              </w:rPr>
            </w:pPr>
            <w:r w:rsidRPr="00B41DA8">
              <w:rPr>
                <w:rFonts w:ascii="Calibri" w:eastAsia="Calibri" w:hAnsi="Calibri" w:cs="Calibri"/>
                <w:color w:val="000000"/>
              </w:rPr>
              <w:t>Reuter-Lorenz, P.A., Baynes, K., Mangun, G.R., Phelps, E.A. (2010). The Cognitive Neuroscience of Mind. The MIT Press</w:t>
            </w: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77777777" w:rsidR="00795C64" w:rsidRDefault="00403C47">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Corroboration of the course contents with the epistemic expectations of the community representative, professional associations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14:paraId="2B1EB75F" w14:textId="77777777">
        <w:trPr>
          <w:trHeight w:val="1072"/>
          <w:jc w:val="center"/>
        </w:trPr>
        <w:tc>
          <w:tcPr>
            <w:tcW w:w="10207" w:type="dxa"/>
          </w:tcPr>
          <w:p w14:paraId="6B801125" w14:textId="1E042A35" w:rsidR="00795C64" w:rsidRDefault="00DE49F4" w:rsidP="00DE49F4">
            <w:pPr>
              <w:pBdr>
                <w:top w:val="nil"/>
                <w:left w:val="nil"/>
                <w:bottom w:val="nil"/>
                <w:right w:val="nil"/>
                <w:between w:val="nil"/>
              </w:pBdr>
              <w:ind w:right="-108"/>
              <w:rPr>
                <w:rFonts w:ascii="Calibri" w:eastAsia="Calibri" w:hAnsi="Calibri" w:cs="Calibri"/>
                <w:color w:val="000000"/>
              </w:rPr>
            </w:pPr>
            <w:r w:rsidRPr="00DE49F4">
              <w:rPr>
                <w:rFonts w:ascii="Calibri" w:eastAsia="Calibri" w:hAnsi="Calibri" w:cs="Calibri"/>
                <w:color w:val="000000"/>
              </w:rPr>
              <w:t>Expected competencies after graduating from this course include demonstrating knowledge about morphological aspects of the brain, brain-</w:t>
            </w:r>
            <w:proofErr w:type="spellStart"/>
            <w:r w:rsidRPr="00DE49F4">
              <w:rPr>
                <w:rFonts w:ascii="Calibri" w:eastAsia="Calibri" w:hAnsi="Calibri" w:cs="Calibri"/>
                <w:color w:val="000000"/>
              </w:rPr>
              <w:t>behavioral</w:t>
            </w:r>
            <w:proofErr w:type="spellEnd"/>
            <w:r w:rsidRPr="00DE49F4">
              <w:rPr>
                <w:rFonts w:ascii="Calibri" w:eastAsia="Calibri" w:hAnsi="Calibri" w:cs="Calibri"/>
                <w:color w:val="000000"/>
              </w:rPr>
              <w:t xml:space="preserve"> relationships, psychological processes and their neurological correlates, as well as understanding and explaining functions and dysfunctions as products of neurological processes. Such abilities are of interest in various fields, such as psychological, philosophical, medical, technological, industrial, etc.</w:t>
            </w:r>
          </w:p>
        </w:tc>
      </w:tr>
    </w:tbl>
    <w:p w14:paraId="2299E8E0" w14:textId="77777777" w:rsidR="00F14999" w:rsidRDefault="00F14999">
      <w:pPr>
        <w:rPr>
          <w:rFonts w:ascii="Calibri" w:eastAsia="Calibri" w:hAnsi="Calibri" w:cs="Calibri"/>
          <w:b/>
          <w:sz w:val="20"/>
          <w:szCs w:val="20"/>
        </w:rPr>
      </w:pPr>
    </w:p>
    <w:p w14:paraId="495FDA21" w14:textId="5AB1B29F" w:rsidR="0059122B" w:rsidRPr="0059122B" w:rsidRDefault="008D2D39" w:rsidP="0059122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751EBBE8" w14:textId="23F613AF" w:rsidR="0059122B" w:rsidRPr="0050217E" w:rsidRDefault="00F14999"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eastAsia="Calibri" w:hAnsi="Calibri" w:cs="Calibri"/>
          <w:color w:val="000000"/>
        </w:rPr>
        <w:t xml:space="preserve"> </w:t>
      </w:r>
      <w:r w:rsidR="0059122B" w:rsidRPr="0050217E">
        <w:rPr>
          <w:rFonts w:ascii="Calibri" w:hAnsi="Calibri" w:cs="Calibri"/>
        </w:rPr>
        <w:t xml:space="preserve">To complete the tasks defined in the </w:t>
      </w:r>
      <w:r w:rsidR="00F0316C">
        <w:rPr>
          <w:rFonts w:ascii="Calibri" w:hAnsi="Calibri" w:cs="Calibri"/>
        </w:rPr>
        <w:t xml:space="preserve">seminar </w:t>
      </w:r>
      <w:r w:rsidR="0059122B" w:rsidRPr="0050217E">
        <w:rPr>
          <w:rFonts w:ascii="Calibri" w:hAnsi="Calibri" w:cs="Calibri"/>
        </w:rPr>
        <w:t xml:space="preserve">assessment section, the use of </w:t>
      </w:r>
      <w:r w:rsidR="00CB740A" w:rsidRPr="0050217E">
        <w:rPr>
          <w:rFonts w:ascii="Calibri" w:hAnsi="Calibri" w:cs="Calibri"/>
        </w:rPr>
        <w:t xml:space="preserve">generative </w:t>
      </w:r>
      <w:r w:rsidR="0059122B" w:rsidRPr="0050217E">
        <w:rPr>
          <w:rFonts w:ascii="Calibri" w:hAnsi="Calibri" w:cs="Calibri"/>
        </w:rPr>
        <w:t>A</w:t>
      </w:r>
      <w:r w:rsidR="00F41385" w:rsidRPr="0050217E">
        <w:rPr>
          <w:rFonts w:ascii="Calibri" w:hAnsi="Calibri" w:cs="Calibri"/>
        </w:rPr>
        <w:t>I</w:t>
      </w:r>
      <w:r w:rsidR="0059122B" w:rsidRPr="0050217E">
        <w:rPr>
          <w:rFonts w:ascii="Calibri" w:hAnsi="Calibri" w:cs="Calibri"/>
        </w:rPr>
        <w:t xml:space="preserve">I tools is </w:t>
      </w:r>
      <w:proofErr w:type="spellStart"/>
      <w:r w:rsidR="0059122B" w:rsidRPr="0050217E">
        <w:rPr>
          <w:rFonts w:ascii="Calibri" w:hAnsi="Calibri" w:cs="Calibri"/>
        </w:rPr>
        <w:t>is</w:t>
      </w:r>
      <w:proofErr w:type="spellEnd"/>
      <w:r w:rsidR="0059122B" w:rsidRPr="0050217E">
        <w:rPr>
          <w:rFonts w:ascii="Calibri" w:hAnsi="Calibri" w:cs="Calibri"/>
        </w:rPr>
        <w:t xml:space="preserve"> permitted for </w:t>
      </w:r>
      <w:r w:rsidR="0059122B" w:rsidRPr="00EA212C">
        <w:rPr>
          <w:rFonts w:ascii="Calibri" w:hAnsi="Calibri" w:cs="Calibri"/>
          <w:b/>
          <w:bCs/>
        </w:rPr>
        <w:t>generating designs</w:t>
      </w:r>
      <w:r w:rsidR="00EA212C" w:rsidRPr="00EA212C">
        <w:rPr>
          <w:rFonts w:ascii="Calibri" w:hAnsi="Calibri" w:cs="Calibri"/>
          <w:b/>
          <w:bCs/>
        </w:rPr>
        <w:t xml:space="preserve"> and </w:t>
      </w:r>
      <w:r w:rsidR="0059122B" w:rsidRPr="00EA212C">
        <w:rPr>
          <w:rFonts w:ascii="Calibri" w:hAnsi="Calibri" w:cs="Calibri"/>
          <w:b/>
          <w:bCs/>
        </w:rPr>
        <w:t>text editin</w:t>
      </w:r>
      <w:r w:rsidR="00EA212C" w:rsidRPr="00EA212C">
        <w:rPr>
          <w:rFonts w:ascii="Calibri" w:hAnsi="Calibri" w:cs="Calibri"/>
          <w:b/>
          <w:bCs/>
        </w:rPr>
        <w:t xml:space="preserve">g or </w:t>
      </w:r>
      <w:r w:rsidR="0059122B" w:rsidRPr="00EA212C">
        <w:rPr>
          <w:rFonts w:ascii="Calibri" w:hAnsi="Calibri" w:cs="Calibri"/>
          <w:b/>
          <w:bCs/>
        </w:rPr>
        <w:t>reviewing</w:t>
      </w:r>
      <w:r w:rsidR="00F0316C">
        <w:rPr>
          <w:rFonts w:ascii="Calibri" w:hAnsi="Calibri" w:cs="Calibri"/>
        </w:rPr>
        <w:t>.</w:t>
      </w:r>
    </w:p>
    <w:p w14:paraId="7F4F2D97" w14:textId="0F991574" w:rsidR="0059122B" w:rsidRPr="0050217E"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The most well-known examples of gen</w:t>
      </w:r>
      <w:r w:rsidR="00CB740A" w:rsidRPr="0050217E">
        <w:rPr>
          <w:rFonts w:ascii="Calibri" w:hAnsi="Calibri" w:cs="Calibri"/>
        </w:rPr>
        <w:t xml:space="preserve">erative </w:t>
      </w:r>
      <w:r w:rsidRPr="0050217E">
        <w:rPr>
          <w:rFonts w:ascii="Calibri" w:hAnsi="Calibri" w:cs="Calibri"/>
        </w:rPr>
        <w:t>A</w:t>
      </w:r>
      <w:r w:rsidR="00F41385" w:rsidRPr="0050217E">
        <w:rPr>
          <w:rFonts w:ascii="Calibri" w:hAnsi="Calibri" w:cs="Calibri"/>
        </w:rPr>
        <w:t>I</w:t>
      </w:r>
      <w:r w:rsidRPr="0050217E">
        <w:rPr>
          <w:rFonts w:ascii="Calibri" w:hAnsi="Calibri" w:cs="Calibri"/>
        </w:rPr>
        <w:t xml:space="preserve">I tools include, but are not limited to: ChatGPT, Google Gemini, Copilot for text, or </w:t>
      </w:r>
      <w:proofErr w:type="spellStart"/>
      <w:r w:rsidRPr="0050217E">
        <w:rPr>
          <w:rFonts w:ascii="Calibri" w:hAnsi="Calibri" w:cs="Calibri"/>
        </w:rPr>
        <w:t>MidJourney</w:t>
      </w:r>
      <w:proofErr w:type="spellEnd"/>
      <w:r w:rsidRPr="0050217E">
        <w:rPr>
          <w:rFonts w:ascii="Calibri" w:hAnsi="Calibri" w:cs="Calibri"/>
        </w:rPr>
        <w:t xml:space="preserve"> for images.</w:t>
      </w:r>
    </w:p>
    <w:p w14:paraId="1B94EB26" w14:textId="417E32D5" w:rsidR="0059122B" w:rsidRPr="0050217E"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 xml:space="preserve">Each student will specify, in a statement written separately for each assignment, according to the model in Annex 3 of the </w:t>
      </w:r>
      <w:hyperlink r:id="rId9" w:history="1">
        <w:r w:rsidRPr="0050217E">
          <w:rPr>
            <w:rStyle w:val="Hyperlink"/>
            <w:rFonts w:ascii="Calibri" w:hAnsi="Calibri" w:cs="Calibri"/>
          </w:rPr>
          <w:t>Regulation on the use of generative artificial intelligence in the educational process at UVT</w:t>
        </w:r>
      </w:hyperlink>
      <w:r w:rsidRPr="0050217E">
        <w:rPr>
          <w:rFonts w:ascii="Calibri" w:hAnsi="Calibri" w:cs="Calibri"/>
        </w:rPr>
        <w:t>, the tool they used, how it was used, and the part of the assignment in which it was used.</w:t>
      </w:r>
      <w:r w:rsidR="0050217E" w:rsidRPr="0050217E">
        <w:rPr>
          <w:rFonts w:ascii="Calibri" w:hAnsi="Calibri" w:cs="Calibri"/>
        </w:rPr>
        <w:t xml:space="preserve"> </w:t>
      </w:r>
      <w:r w:rsidR="0050217E" w:rsidRPr="00A46460">
        <w:rPr>
          <w:rFonts w:ascii="Calibri" w:hAnsi="Calibri" w:cs="Calibri"/>
        </w:rPr>
        <w:t>The statement will be included by the student at the beginning of the submitted assignment.</w:t>
      </w:r>
    </w:p>
    <w:p w14:paraId="0456A0BC" w14:textId="77777777" w:rsidR="008D2D39" w:rsidRDefault="008D2D39" w:rsidP="008D2D39">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2953"/>
        <w:gridCol w:w="2835"/>
        <w:gridCol w:w="1984"/>
      </w:tblGrid>
      <w:tr w:rsidR="00795C64" w14:paraId="21E5C240" w14:textId="77777777">
        <w:trPr>
          <w:trHeight w:val="477"/>
          <w:jc w:val="center"/>
        </w:trPr>
        <w:tc>
          <w:tcPr>
            <w:tcW w:w="2151" w:type="dxa"/>
            <w:vAlign w:val="center"/>
          </w:tcPr>
          <w:p w14:paraId="61F56B60" w14:textId="77777777" w:rsidR="00795C64" w:rsidRDefault="00403C47">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2953"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2835"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84"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9346D7" w14:paraId="0B4F7881" w14:textId="77777777">
        <w:trPr>
          <w:trHeight w:val="477"/>
          <w:jc w:val="center"/>
        </w:trPr>
        <w:tc>
          <w:tcPr>
            <w:tcW w:w="2151" w:type="dxa"/>
            <w:vAlign w:val="center"/>
          </w:tcPr>
          <w:p w14:paraId="0659D9A2" w14:textId="6A120581" w:rsidR="009346D7" w:rsidRDefault="009346D7" w:rsidP="009346D7">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2953" w:type="dxa"/>
            <w:vAlign w:val="center"/>
          </w:tcPr>
          <w:p w14:paraId="3FFEE129" w14:textId="6C96C885" w:rsidR="009346D7" w:rsidRPr="009346D7" w:rsidRDefault="009346D7" w:rsidP="009346D7">
            <w:pPr>
              <w:pBdr>
                <w:top w:val="nil"/>
                <w:left w:val="nil"/>
                <w:bottom w:val="nil"/>
                <w:right w:val="nil"/>
                <w:between w:val="nil"/>
              </w:pBdr>
              <w:rPr>
                <w:rFonts w:asciiTheme="minorHAnsi" w:eastAsia="Calibri" w:hAnsiTheme="minorHAnsi" w:cstheme="minorHAnsi"/>
                <w:color w:val="000000"/>
                <w:sz w:val="22"/>
                <w:szCs w:val="22"/>
              </w:rPr>
            </w:pPr>
            <w:r w:rsidRPr="009346D7">
              <w:rPr>
                <w:rFonts w:asciiTheme="minorHAnsi" w:hAnsiTheme="minorHAnsi" w:cstheme="minorHAnsi"/>
                <w:sz w:val="22"/>
                <w:szCs w:val="22"/>
              </w:rPr>
              <w:t xml:space="preserve">Written examination </w:t>
            </w:r>
            <w:r w:rsidRPr="009346D7">
              <w:rPr>
                <w:rFonts w:asciiTheme="minorHAnsi" w:hAnsiTheme="minorHAnsi" w:cstheme="minorHAnsi"/>
                <w:sz w:val="22"/>
                <w:szCs w:val="22"/>
                <w:lang w:val="en-US"/>
              </w:rPr>
              <w:t>Mandatory task</w:t>
            </w:r>
          </w:p>
        </w:tc>
        <w:tc>
          <w:tcPr>
            <w:tcW w:w="2835" w:type="dxa"/>
            <w:vAlign w:val="center"/>
          </w:tcPr>
          <w:p w14:paraId="3010BC69" w14:textId="6F978BE0" w:rsidR="009346D7" w:rsidRPr="009346D7" w:rsidRDefault="009346D7" w:rsidP="009346D7">
            <w:pPr>
              <w:pBdr>
                <w:top w:val="nil"/>
                <w:left w:val="nil"/>
                <w:bottom w:val="nil"/>
                <w:right w:val="nil"/>
                <w:between w:val="nil"/>
              </w:pBdr>
              <w:rPr>
                <w:rFonts w:asciiTheme="minorHAnsi" w:eastAsia="Calibri" w:hAnsiTheme="minorHAnsi" w:cstheme="minorHAnsi"/>
                <w:color w:val="000000"/>
                <w:sz w:val="22"/>
                <w:szCs w:val="22"/>
              </w:rPr>
            </w:pPr>
            <w:r w:rsidRPr="009346D7">
              <w:rPr>
                <w:rFonts w:asciiTheme="minorHAnsi" w:hAnsiTheme="minorHAnsi" w:cstheme="minorHAnsi"/>
                <w:sz w:val="22"/>
                <w:szCs w:val="22"/>
              </w:rPr>
              <w:t xml:space="preserve">The examination will be based on information provided in the course and seminar materials, according to references available in this syllabus. The exam form will contain items in multiple-choice format and items requiring the </w:t>
            </w:r>
            <w:r w:rsidRPr="009346D7">
              <w:rPr>
                <w:rFonts w:asciiTheme="minorHAnsi" w:hAnsiTheme="minorHAnsi" w:cstheme="minorHAnsi"/>
                <w:sz w:val="22"/>
                <w:szCs w:val="22"/>
              </w:rPr>
              <w:lastRenderedPageBreak/>
              <w:t>application of acquired knowledge to practical situations</w:t>
            </w:r>
          </w:p>
        </w:tc>
        <w:tc>
          <w:tcPr>
            <w:tcW w:w="1984" w:type="dxa"/>
            <w:vAlign w:val="center"/>
          </w:tcPr>
          <w:p w14:paraId="0D18CBCF" w14:textId="50CBBF41" w:rsidR="009346D7" w:rsidRPr="009346D7" w:rsidRDefault="008D1BA0" w:rsidP="009346D7">
            <w:pPr>
              <w:pBdr>
                <w:top w:val="nil"/>
                <w:left w:val="nil"/>
                <w:bottom w:val="nil"/>
                <w:right w:val="nil"/>
                <w:between w:val="nil"/>
              </w:pBdr>
              <w:jc w:val="center"/>
              <w:rPr>
                <w:rFonts w:asciiTheme="minorHAnsi" w:eastAsia="Calibri" w:hAnsiTheme="minorHAnsi" w:cstheme="minorHAnsi"/>
                <w:color w:val="000000"/>
                <w:sz w:val="22"/>
                <w:szCs w:val="22"/>
              </w:rPr>
            </w:pPr>
            <w:r>
              <w:rPr>
                <w:rFonts w:asciiTheme="minorHAnsi" w:hAnsiTheme="minorHAnsi" w:cstheme="minorHAnsi"/>
                <w:sz w:val="22"/>
                <w:szCs w:val="22"/>
              </w:rPr>
              <w:lastRenderedPageBreak/>
              <w:t>7</w:t>
            </w:r>
            <w:r w:rsidR="009346D7" w:rsidRPr="009346D7">
              <w:rPr>
                <w:rFonts w:asciiTheme="minorHAnsi" w:hAnsiTheme="minorHAnsi" w:cstheme="minorHAnsi"/>
                <w:sz w:val="22"/>
                <w:szCs w:val="22"/>
              </w:rPr>
              <w:t>0%</w:t>
            </w:r>
          </w:p>
        </w:tc>
      </w:tr>
      <w:tr w:rsidR="00795C64" w14:paraId="163E246F" w14:textId="77777777">
        <w:trPr>
          <w:trHeight w:val="477"/>
          <w:jc w:val="center"/>
        </w:trPr>
        <w:tc>
          <w:tcPr>
            <w:tcW w:w="2151" w:type="dxa"/>
            <w:vAlign w:val="center"/>
          </w:tcPr>
          <w:p w14:paraId="02CE981A" w14:textId="73ADF07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Seminar</w:t>
            </w:r>
          </w:p>
        </w:tc>
        <w:tc>
          <w:tcPr>
            <w:tcW w:w="2953" w:type="dxa"/>
            <w:vAlign w:val="center"/>
          </w:tcPr>
          <w:p w14:paraId="2348A61B" w14:textId="6670787A" w:rsidR="00795C64" w:rsidRDefault="00ED0577">
            <w:pPr>
              <w:pBdr>
                <w:top w:val="nil"/>
                <w:left w:val="nil"/>
                <w:bottom w:val="nil"/>
                <w:right w:val="nil"/>
                <w:between w:val="nil"/>
              </w:pBdr>
              <w:rPr>
                <w:rFonts w:ascii="Calibri" w:eastAsia="Calibri" w:hAnsi="Calibri" w:cs="Calibri"/>
                <w:color w:val="000000"/>
                <w:sz w:val="22"/>
                <w:szCs w:val="22"/>
              </w:rPr>
            </w:pPr>
            <w:r w:rsidRPr="00ED0577">
              <w:rPr>
                <w:rFonts w:ascii="Calibri" w:eastAsia="Calibri" w:hAnsi="Calibri" w:cs="Calibri"/>
                <w:color w:val="000000"/>
                <w:sz w:val="22"/>
                <w:szCs w:val="22"/>
              </w:rPr>
              <w:t xml:space="preserve">Group </w:t>
            </w:r>
            <w:r w:rsidR="00A131C5">
              <w:rPr>
                <w:rFonts w:ascii="Calibri" w:eastAsia="Calibri" w:hAnsi="Calibri" w:cs="Calibri"/>
                <w:color w:val="000000"/>
                <w:sz w:val="22"/>
                <w:szCs w:val="22"/>
              </w:rPr>
              <w:t>task</w:t>
            </w:r>
          </w:p>
          <w:p w14:paraId="4AADC981" w14:textId="5EB6D89D" w:rsidR="009E2E11" w:rsidRPr="00ED0577" w:rsidRDefault="009E2E11">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Mandatory task</w:t>
            </w:r>
          </w:p>
        </w:tc>
        <w:tc>
          <w:tcPr>
            <w:tcW w:w="2835" w:type="dxa"/>
            <w:vAlign w:val="center"/>
          </w:tcPr>
          <w:p w14:paraId="08182C37" w14:textId="5143128F" w:rsidR="00795C64" w:rsidRPr="00ED0577" w:rsidRDefault="00ED0577">
            <w:pPr>
              <w:pBdr>
                <w:top w:val="nil"/>
                <w:left w:val="nil"/>
                <w:bottom w:val="nil"/>
                <w:right w:val="nil"/>
                <w:between w:val="nil"/>
              </w:pBdr>
              <w:rPr>
                <w:rFonts w:ascii="Calibri" w:eastAsia="Calibri" w:hAnsi="Calibri" w:cs="Calibri"/>
                <w:color w:val="000000"/>
                <w:sz w:val="22"/>
                <w:szCs w:val="22"/>
              </w:rPr>
            </w:pPr>
            <w:r w:rsidRPr="00ED0577">
              <w:rPr>
                <w:rFonts w:ascii="Calibri" w:eastAsia="Calibri" w:hAnsi="Calibri" w:cs="Calibri"/>
                <w:color w:val="000000"/>
                <w:sz w:val="22"/>
                <w:szCs w:val="22"/>
              </w:rPr>
              <w:t xml:space="preserve">Students will solve a PBL task in groups and present their results. The group mark will be awarded to each member of the group and will represent </w:t>
            </w:r>
            <w:r w:rsidR="008D1BA0">
              <w:rPr>
                <w:rFonts w:ascii="Calibri" w:eastAsia="Calibri" w:hAnsi="Calibri" w:cs="Calibri"/>
                <w:color w:val="000000"/>
                <w:sz w:val="22"/>
                <w:szCs w:val="22"/>
              </w:rPr>
              <w:t>3</w:t>
            </w:r>
            <w:r w:rsidRPr="00ED0577">
              <w:rPr>
                <w:rFonts w:ascii="Calibri" w:eastAsia="Calibri" w:hAnsi="Calibri" w:cs="Calibri"/>
                <w:color w:val="000000"/>
                <w:sz w:val="22"/>
                <w:szCs w:val="22"/>
              </w:rPr>
              <w:t>0% of the final mark.</w:t>
            </w:r>
          </w:p>
        </w:tc>
        <w:tc>
          <w:tcPr>
            <w:tcW w:w="1984" w:type="dxa"/>
            <w:vAlign w:val="center"/>
          </w:tcPr>
          <w:p w14:paraId="2264F600" w14:textId="14066654" w:rsidR="00795C64" w:rsidRPr="00ED0577" w:rsidRDefault="008D1BA0">
            <w:pPr>
              <w:pBdr>
                <w:top w:val="nil"/>
                <w:left w:val="nil"/>
                <w:bottom w:val="nil"/>
                <w:right w:val="nil"/>
                <w:between w:val="nil"/>
              </w:pBdr>
              <w:jc w:val="center"/>
              <w:rPr>
                <w:rFonts w:ascii="Calibri" w:eastAsia="Calibri" w:hAnsi="Calibri" w:cs="Calibri"/>
                <w:color w:val="000000"/>
                <w:sz w:val="22"/>
                <w:szCs w:val="22"/>
              </w:rPr>
            </w:pPr>
            <w:r>
              <w:rPr>
                <w:rFonts w:ascii="Calibri" w:eastAsia="Calibri" w:hAnsi="Calibri" w:cs="Calibri"/>
                <w:color w:val="000000"/>
                <w:sz w:val="22"/>
                <w:szCs w:val="22"/>
              </w:rPr>
              <w:t>3</w:t>
            </w:r>
            <w:r w:rsidR="00ED0577" w:rsidRPr="00ED0577">
              <w:rPr>
                <w:rFonts w:ascii="Calibri" w:eastAsia="Calibri" w:hAnsi="Calibri" w:cs="Calibri"/>
                <w:color w:val="000000"/>
                <w:sz w:val="22"/>
                <w:szCs w:val="22"/>
              </w:rPr>
              <w:t>0</w:t>
            </w:r>
            <w:r w:rsidRPr="00ED0577">
              <w:rPr>
                <w:rFonts w:ascii="Calibri" w:eastAsia="Calibri" w:hAnsi="Calibri" w:cs="Calibri"/>
                <w:color w:val="000000"/>
                <w:sz w:val="22"/>
                <w:szCs w:val="22"/>
              </w:rPr>
              <w:t>%</w:t>
            </w:r>
          </w:p>
        </w:tc>
      </w:tr>
      <w:tr w:rsidR="00006770" w14:paraId="3E474E73" w14:textId="77777777" w:rsidTr="00006A54">
        <w:trPr>
          <w:trHeight w:val="477"/>
          <w:jc w:val="center"/>
        </w:trPr>
        <w:tc>
          <w:tcPr>
            <w:tcW w:w="2151" w:type="dxa"/>
          </w:tcPr>
          <w:p w14:paraId="35937DCF" w14:textId="119BBA0F" w:rsidR="00006770" w:rsidRPr="00006770" w:rsidRDefault="00006770" w:rsidP="00006770">
            <w:pPr>
              <w:pBdr>
                <w:top w:val="nil"/>
                <w:left w:val="nil"/>
                <w:bottom w:val="nil"/>
                <w:right w:val="nil"/>
                <w:between w:val="nil"/>
              </w:pBdr>
              <w:rPr>
                <w:rFonts w:asciiTheme="minorHAnsi" w:eastAsia="Calibri" w:hAnsiTheme="minorHAnsi" w:cstheme="minorHAnsi"/>
                <w:b/>
                <w:color w:val="000000"/>
                <w:sz w:val="22"/>
                <w:szCs w:val="22"/>
              </w:rPr>
            </w:pPr>
            <w:r>
              <w:rPr>
                <w:rFonts w:asciiTheme="minorHAnsi" w:hAnsiTheme="minorHAnsi" w:cstheme="minorHAnsi"/>
                <w:sz w:val="22"/>
                <w:szCs w:val="22"/>
              </w:rPr>
              <w:t>10</w:t>
            </w:r>
            <w:r w:rsidRPr="00006770">
              <w:rPr>
                <w:rFonts w:asciiTheme="minorHAnsi" w:hAnsiTheme="minorHAnsi" w:cstheme="minorHAnsi"/>
                <w:sz w:val="22"/>
                <w:szCs w:val="22"/>
              </w:rPr>
              <w:t>.5.</w:t>
            </w:r>
            <w:r>
              <w:rPr>
                <w:rFonts w:asciiTheme="minorHAnsi" w:hAnsiTheme="minorHAnsi" w:cstheme="minorHAnsi"/>
                <w:sz w:val="22"/>
                <w:szCs w:val="22"/>
              </w:rPr>
              <w:t>2</w:t>
            </w:r>
            <w:r w:rsidRPr="00006770">
              <w:rPr>
                <w:rFonts w:asciiTheme="minorHAnsi" w:hAnsiTheme="minorHAnsi" w:cstheme="minorHAnsi"/>
                <w:sz w:val="22"/>
                <w:szCs w:val="22"/>
              </w:rPr>
              <w:t>. Bonus points</w:t>
            </w:r>
          </w:p>
        </w:tc>
        <w:tc>
          <w:tcPr>
            <w:tcW w:w="2953" w:type="dxa"/>
          </w:tcPr>
          <w:p w14:paraId="764E2E69" w14:textId="33F618FB" w:rsidR="00006770" w:rsidRPr="00006770" w:rsidRDefault="00006770" w:rsidP="00006770">
            <w:pPr>
              <w:pBdr>
                <w:top w:val="nil"/>
                <w:left w:val="nil"/>
                <w:bottom w:val="nil"/>
                <w:right w:val="nil"/>
                <w:between w:val="nil"/>
              </w:pBdr>
              <w:rPr>
                <w:rFonts w:asciiTheme="minorHAnsi" w:eastAsia="Calibri" w:hAnsiTheme="minorHAnsi" w:cstheme="minorHAnsi"/>
                <w:color w:val="000000"/>
                <w:sz w:val="22"/>
                <w:szCs w:val="22"/>
              </w:rPr>
            </w:pPr>
            <w:r w:rsidRPr="00006770">
              <w:rPr>
                <w:rFonts w:asciiTheme="minorHAnsi" w:hAnsiTheme="minorHAnsi" w:cstheme="minorHAnsi"/>
                <w:sz w:val="22"/>
                <w:szCs w:val="22"/>
              </w:rPr>
              <w:t>Participation in research</w:t>
            </w:r>
          </w:p>
        </w:tc>
        <w:tc>
          <w:tcPr>
            <w:tcW w:w="2835" w:type="dxa"/>
          </w:tcPr>
          <w:p w14:paraId="30576589" w14:textId="22C9387E" w:rsidR="00006770" w:rsidRPr="00006770" w:rsidRDefault="00006770" w:rsidP="00006770">
            <w:pPr>
              <w:pBdr>
                <w:top w:val="nil"/>
                <w:left w:val="nil"/>
                <w:bottom w:val="nil"/>
                <w:right w:val="nil"/>
                <w:between w:val="nil"/>
              </w:pBdr>
              <w:rPr>
                <w:rFonts w:asciiTheme="minorHAnsi" w:eastAsia="Calibri" w:hAnsiTheme="minorHAnsi" w:cstheme="minorHAnsi"/>
                <w:color w:val="000000"/>
                <w:sz w:val="22"/>
                <w:szCs w:val="22"/>
              </w:rPr>
            </w:pPr>
            <w:r w:rsidRPr="00006770">
              <w:rPr>
                <w:rFonts w:asciiTheme="minorHAnsi" w:hAnsiTheme="minorHAnsi" w:cstheme="minorHAnsi"/>
                <w:sz w:val="22"/>
                <w:szCs w:val="22"/>
              </w:rPr>
              <w:t>Volunteering as a participant in studies conducted by the tenured teacher can bring additional 0.5-</w:t>
            </w:r>
            <w:r>
              <w:rPr>
                <w:rFonts w:asciiTheme="minorHAnsi" w:hAnsiTheme="minorHAnsi" w:cstheme="minorHAnsi"/>
                <w:sz w:val="22"/>
                <w:szCs w:val="22"/>
              </w:rPr>
              <w:t>1</w:t>
            </w:r>
            <w:r w:rsidRPr="00006770">
              <w:rPr>
                <w:rFonts w:asciiTheme="minorHAnsi" w:hAnsiTheme="minorHAnsi" w:cstheme="minorHAnsi"/>
                <w:sz w:val="22"/>
                <w:szCs w:val="22"/>
              </w:rPr>
              <w:t xml:space="preserve"> points to the </w:t>
            </w:r>
            <w:r>
              <w:rPr>
                <w:rFonts w:asciiTheme="minorHAnsi" w:hAnsiTheme="minorHAnsi" w:cstheme="minorHAnsi"/>
                <w:sz w:val="22"/>
                <w:szCs w:val="22"/>
              </w:rPr>
              <w:t>seminar</w:t>
            </w:r>
            <w:r w:rsidRPr="00006770">
              <w:rPr>
                <w:rFonts w:asciiTheme="minorHAnsi" w:hAnsiTheme="minorHAnsi" w:cstheme="minorHAnsi"/>
                <w:sz w:val="22"/>
                <w:szCs w:val="22"/>
              </w:rPr>
              <w:t xml:space="preserve"> mark</w:t>
            </w:r>
          </w:p>
        </w:tc>
        <w:tc>
          <w:tcPr>
            <w:tcW w:w="1984" w:type="dxa"/>
          </w:tcPr>
          <w:p w14:paraId="23DF081F" w14:textId="77777777" w:rsidR="00006770" w:rsidRPr="00006770" w:rsidRDefault="00006770" w:rsidP="00006770">
            <w:pPr>
              <w:pBdr>
                <w:top w:val="nil"/>
                <w:left w:val="nil"/>
                <w:bottom w:val="nil"/>
                <w:right w:val="nil"/>
                <w:between w:val="nil"/>
              </w:pBdr>
              <w:jc w:val="center"/>
              <w:rPr>
                <w:rFonts w:asciiTheme="minorHAnsi" w:eastAsia="Calibri" w:hAnsiTheme="minorHAnsi" w:cstheme="minorHAnsi"/>
                <w:color w:val="000000"/>
                <w:sz w:val="22"/>
                <w:szCs w:val="22"/>
              </w:rPr>
            </w:pPr>
          </w:p>
        </w:tc>
      </w:tr>
      <w:tr w:rsidR="00795C64" w14:paraId="0713FE01" w14:textId="77777777">
        <w:trPr>
          <w:trHeight w:val="159"/>
          <w:jc w:val="center"/>
        </w:trPr>
        <w:tc>
          <w:tcPr>
            <w:tcW w:w="9923" w:type="dxa"/>
            <w:gridSpan w:val="4"/>
            <w:vAlign w:val="center"/>
          </w:tcPr>
          <w:p w14:paraId="69088645" w14:textId="3BD0EF0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795C64" w14:paraId="2B3D81A8" w14:textId="77777777" w:rsidTr="00F14999">
        <w:trPr>
          <w:trHeight w:val="288"/>
          <w:jc w:val="center"/>
        </w:trPr>
        <w:tc>
          <w:tcPr>
            <w:tcW w:w="9923" w:type="dxa"/>
            <w:gridSpan w:val="4"/>
            <w:vAlign w:val="center"/>
          </w:tcPr>
          <w:p w14:paraId="652207B4" w14:textId="77777777" w:rsidR="009E2E11" w:rsidRDefault="007C36AB" w:rsidP="007C36AB">
            <w:pPr>
              <w:pBdr>
                <w:top w:val="nil"/>
                <w:left w:val="nil"/>
                <w:bottom w:val="nil"/>
                <w:right w:val="nil"/>
                <w:between w:val="nil"/>
              </w:pBdr>
              <w:rPr>
                <w:rFonts w:ascii="Calibri" w:eastAsia="Calibri" w:hAnsi="Calibri" w:cs="Calibri"/>
                <w:color w:val="000000"/>
              </w:rPr>
            </w:pPr>
            <w:r w:rsidRPr="007C36AB">
              <w:rPr>
                <w:rFonts w:ascii="Calibri" w:eastAsia="Calibri" w:hAnsi="Calibri" w:cs="Calibri"/>
                <w:color w:val="000000"/>
              </w:rPr>
              <w:t xml:space="preserve">The final grade will be calculated by adding the marks on each activity type. Students need to complete both tasks to graduate from the course. </w:t>
            </w:r>
          </w:p>
          <w:p w14:paraId="23B8D87A" w14:textId="77777777" w:rsidR="009E2E11" w:rsidRDefault="009E2E11" w:rsidP="007C36AB">
            <w:pPr>
              <w:pBdr>
                <w:top w:val="nil"/>
                <w:left w:val="nil"/>
                <w:bottom w:val="nil"/>
                <w:right w:val="nil"/>
                <w:between w:val="nil"/>
              </w:pBdr>
              <w:rPr>
                <w:rFonts w:ascii="Calibri" w:eastAsia="Calibri" w:hAnsi="Calibri" w:cs="Calibri"/>
                <w:color w:val="000000"/>
              </w:rPr>
            </w:pPr>
          </w:p>
          <w:p w14:paraId="55303312" w14:textId="658E6B57" w:rsidR="007C36AB" w:rsidRPr="007C36AB" w:rsidRDefault="007C36AB" w:rsidP="007C36AB">
            <w:pPr>
              <w:pBdr>
                <w:top w:val="nil"/>
                <w:left w:val="nil"/>
                <w:bottom w:val="nil"/>
                <w:right w:val="nil"/>
                <w:between w:val="nil"/>
              </w:pBdr>
              <w:rPr>
                <w:rFonts w:ascii="Calibri" w:eastAsia="Calibri" w:hAnsi="Calibri" w:cs="Calibri"/>
                <w:color w:val="000000"/>
              </w:rPr>
            </w:pPr>
            <w:r w:rsidRPr="007C36AB">
              <w:rPr>
                <w:rFonts w:ascii="Calibri" w:eastAsia="Calibri" w:hAnsi="Calibri" w:cs="Calibri"/>
                <w:color w:val="000000"/>
              </w:rPr>
              <w:t xml:space="preserve">A minimal mark of 5 in the written examination is required to compute the total mark. A minimal mark of 5 is also required to graduate from the course. </w:t>
            </w:r>
          </w:p>
          <w:p w14:paraId="352415DA" w14:textId="77777777" w:rsidR="007C36AB" w:rsidRPr="007C36AB" w:rsidRDefault="007C36AB" w:rsidP="007C36AB">
            <w:pPr>
              <w:pBdr>
                <w:top w:val="nil"/>
                <w:left w:val="nil"/>
                <w:bottom w:val="nil"/>
                <w:right w:val="nil"/>
                <w:between w:val="nil"/>
              </w:pBdr>
              <w:ind w:left="720"/>
              <w:rPr>
                <w:rFonts w:ascii="Calibri" w:eastAsia="Calibri" w:hAnsi="Calibri" w:cs="Calibri"/>
                <w:color w:val="000000"/>
              </w:rPr>
            </w:pPr>
          </w:p>
          <w:p w14:paraId="60CF841B" w14:textId="77777777" w:rsidR="00381CDD" w:rsidRPr="00381CDD" w:rsidRDefault="00381CDD" w:rsidP="00381CDD">
            <w:pPr>
              <w:pBdr>
                <w:top w:val="nil"/>
                <w:left w:val="nil"/>
                <w:bottom w:val="nil"/>
                <w:right w:val="nil"/>
                <w:between w:val="nil"/>
              </w:pBdr>
              <w:rPr>
                <w:rFonts w:ascii="Calibri" w:eastAsia="Calibri" w:hAnsi="Calibri" w:cs="Calibri"/>
                <w:color w:val="000000"/>
              </w:rPr>
            </w:pPr>
            <w:r w:rsidRPr="00381CDD">
              <w:rPr>
                <w:rFonts w:ascii="Calibri" w:eastAsia="Calibri" w:hAnsi="Calibri" w:cs="Calibri"/>
                <w:color w:val="000000"/>
              </w:rPr>
              <w:t>Re-examination standard:</w:t>
            </w:r>
          </w:p>
          <w:p w14:paraId="140BE484" w14:textId="77777777" w:rsidR="00381CDD" w:rsidRPr="00381CDD" w:rsidRDefault="00381CDD" w:rsidP="00381CDD">
            <w:pPr>
              <w:pBdr>
                <w:top w:val="nil"/>
                <w:left w:val="nil"/>
                <w:bottom w:val="nil"/>
                <w:right w:val="nil"/>
                <w:between w:val="nil"/>
              </w:pBdr>
              <w:rPr>
                <w:rFonts w:ascii="Calibri" w:eastAsia="Calibri" w:hAnsi="Calibri" w:cs="Calibri"/>
                <w:color w:val="000000"/>
              </w:rPr>
            </w:pPr>
            <w:r w:rsidRPr="00381CDD">
              <w:rPr>
                <w:rFonts w:ascii="Calibri" w:eastAsia="Calibri" w:hAnsi="Calibri" w:cs="Calibri"/>
                <w:color w:val="000000"/>
              </w:rPr>
              <w:t>The same criteria apply to re-examination sessions. The bonus points will be awarded in any session, on the condition of passing the final examination.</w:t>
            </w:r>
          </w:p>
          <w:p w14:paraId="274A543A" w14:textId="77777777" w:rsidR="00381CDD" w:rsidRPr="00381CDD" w:rsidRDefault="00381CDD" w:rsidP="00381CDD">
            <w:pPr>
              <w:pBdr>
                <w:top w:val="nil"/>
                <w:left w:val="nil"/>
                <w:bottom w:val="nil"/>
                <w:right w:val="nil"/>
                <w:between w:val="nil"/>
              </w:pBdr>
              <w:rPr>
                <w:rFonts w:ascii="Calibri" w:eastAsia="Calibri" w:hAnsi="Calibri" w:cs="Calibri"/>
                <w:color w:val="000000"/>
              </w:rPr>
            </w:pPr>
            <w:r w:rsidRPr="00381CDD">
              <w:rPr>
                <w:rFonts w:ascii="Calibri" w:eastAsia="Calibri" w:hAnsi="Calibri" w:cs="Calibri"/>
                <w:color w:val="000000"/>
              </w:rPr>
              <w:t xml:space="preserve">Students who do not meet the minimal attendance conditions can compensate a maximum of 3 attendance points by completing an additional task at the end of the semester. </w:t>
            </w:r>
          </w:p>
          <w:p w14:paraId="698DF85B" w14:textId="299560DC" w:rsidR="00381CDD" w:rsidRPr="00381CDD" w:rsidRDefault="00381CDD" w:rsidP="00381CDD">
            <w:pPr>
              <w:pBdr>
                <w:top w:val="nil"/>
                <w:left w:val="nil"/>
                <w:bottom w:val="nil"/>
                <w:right w:val="nil"/>
                <w:between w:val="nil"/>
              </w:pBdr>
              <w:rPr>
                <w:rFonts w:ascii="Calibri" w:eastAsia="Calibri" w:hAnsi="Calibri" w:cs="Calibri"/>
                <w:color w:val="000000"/>
              </w:rPr>
            </w:pPr>
            <w:r w:rsidRPr="00381CDD">
              <w:rPr>
                <w:rFonts w:ascii="Calibri" w:eastAsia="Calibri" w:hAnsi="Calibri" w:cs="Calibri"/>
                <w:color w:val="000000"/>
              </w:rPr>
              <w:t xml:space="preserve">Students who lack more than 3 attendance points but have </w:t>
            </w:r>
            <w:r w:rsidR="00A131C5">
              <w:rPr>
                <w:rFonts w:ascii="Calibri" w:eastAsia="Calibri" w:hAnsi="Calibri" w:cs="Calibri"/>
                <w:color w:val="000000"/>
              </w:rPr>
              <w:t>done the group task</w:t>
            </w:r>
            <w:r w:rsidRPr="00381CDD">
              <w:rPr>
                <w:rFonts w:ascii="Calibri" w:eastAsia="Calibri" w:hAnsi="Calibri" w:cs="Calibri"/>
                <w:color w:val="000000"/>
              </w:rPr>
              <w:t xml:space="preserve"> during the semester will take the written examination in the B or C sessions.</w:t>
            </w:r>
          </w:p>
          <w:p w14:paraId="25042649" w14:textId="0CC560E3" w:rsidR="00795C64" w:rsidRDefault="00381CDD" w:rsidP="00381CDD">
            <w:pPr>
              <w:pBdr>
                <w:top w:val="nil"/>
                <w:left w:val="nil"/>
                <w:bottom w:val="nil"/>
                <w:right w:val="nil"/>
                <w:between w:val="nil"/>
              </w:pBdr>
              <w:rPr>
                <w:rFonts w:ascii="Calibri" w:eastAsia="Calibri" w:hAnsi="Calibri" w:cs="Calibri"/>
                <w:color w:val="000000"/>
              </w:rPr>
            </w:pPr>
            <w:r w:rsidRPr="00381CDD">
              <w:rPr>
                <w:rFonts w:ascii="Calibri" w:eastAsia="Calibri" w:hAnsi="Calibri" w:cs="Calibri"/>
                <w:color w:val="000000"/>
              </w:rPr>
              <w:t xml:space="preserve">Students who have not attended the seminars nor handed in the portfolio during the semester will have to </w:t>
            </w:r>
            <w:proofErr w:type="spellStart"/>
            <w:r w:rsidRPr="00381CDD">
              <w:rPr>
                <w:rFonts w:ascii="Calibri" w:eastAsia="Calibri" w:hAnsi="Calibri" w:cs="Calibri"/>
                <w:color w:val="000000"/>
              </w:rPr>
              <w:t>enroll</w:t>
            </w:r>
            <w:proofErr w:type="spellEnd"/>
            <w:r w:rsidRPr="00381CDD">
              <w:rPr>
                <w:rFonts w:ascii="Calibri" w:eastAsia="Calibri" w:hAnsi="Calibri" w:cs="Calibri"/>
                <w:color w:val="000000"/>
              </w:rPr>
              <w:t xml:space="preserve"> again in the following year.</w:t>
            </w:r>
          </w:p>
        </w:tc>
      </w:tr>
    </w:tbl>
    <w:p w14:paraId="71A3DA47" w14:textId="77777777" w:rsidR="00795C64" w:rsidRDefault="00795C64">
      <w:pPr>
        <w:spacing w:line="276" w:lineRule="auto"/>
        <w:jc w:val="center"/>
        <w:rPr>
          <w:rFonts w:ascii="Calibri" w:eastAsia="Calibri" w:hAnsi="Calibri" w:cs="Calibri"/>
        </w:rPr>
      </w:pPr>
    </w:p>
    <w:p w14:paraId="35F9C43D" w14:textId="77777777" w:rsidR="00795C64" w:rsidRDefault="00403C47">
      <w:pPr>
        <w:spacing w:line="276" w:lineRule="auto"/>
        <w:jc w:val="both"/>
        <w:rPr>
          <w:rFonts w:ascii="Calibri" w:eastAsia="Calibri" w:hAnsi="Calibri" w:cs="Calibri"/>
        </w:rPr>
      </w:pPr>
      <w:r>
        <w:rPr>
          <w:rFonts w:ascii="Calibri" w:eastAsia="Calibri" w:hAnsi="Calibri" w:cs="Calibri"/>
          <w:b/>
        </w:rPr>
        <w:t>Date of submission:                                                       Titular of the course</w:t>
      </w:r>
      <w:r>
        <w:rPr>
          <w:rFonts w:ascii="Calibri" w:eastAsia="Calibri" w:hAnsi="Calibri" w:cs="Calibri"/>
        </w:rPr>
        <w:t>:</w:t>
      </w:r>
    </w:p>
    <w:p w14:paraId="49EA27F5" w14:textId="5578CBCC" w:rsidR="00795C64" w:rsidRDefault="00403C47">
      <w:pPr>
        <w:spacing w:line="276" w:lineRule="auto"/>
        <w:jc w:val="both"/>
        <w:rPr>
          <w:rFonts w:ascii="Calibri" w:eastAsia="Calibri" w:hAnsi="Calibri" w:cs="Calibri"/>
        </w:rPr>
      </w:pPr>
      <w:r>
        <w:rPr>
          <w:rFonts w:ascii="Calibri" w:eastAsia="Calibri" w:hAnsi="Calibri" w:cs="Calibri"/>
        </w:rPr>
        <w:t xml:space="preserve">   </w:t>
      </w:r>
      <w:r w:rsidR="00EF77EA">
        <w:rPr>
          <w:rFonts w:ascii="Calibri" w:eastAsia="Calibri" w:hAnsi="Calibri" w:cs="Calibri"/>
        </w:rPr>
        <w:t>28. 01. 2026</w:t>
      </w:r>
      <w:r>
        <w:rPr>
          <w:rFonts w:ascii="Calibri" w:eastAsia="Calibri" w:hAnsi="Calibri" w:cs="Calibri"/>
        </w:rPr>
        <w:t xml:space="preserve">                                                                  Signature:</w:t>
      </w:r>
    </w:p>
    <w:p w14:paraId="370BCD01" w14:textId="77777777" w:rsidR="00795C64" w:rsidRDefault="00795C64">
      <w:pPr>
        <w:spacing w:line="276" w:lineRule="auto"/>
        <w:jc w:val="both"/>
        <w:rPr>
          <w:rFonts w:ascii="Calibri" w:eastAsia="Calibri" w:hAnsi="Calibri" w:cs="Calibri"/>
        </w:rPr>
      </w:pPr>
    </w:p>
    <w:p w14:paraId="5AC46186" w14:textId="77777777" w:rsidR="00795C64" w:rsidRDefault="00795C64">
      <w:pPr>
        <w:spacing w:line="276" w:lineRule="auto"/>
        <w:jc w:val="both"/>
        <w:rPr>
          <w:rFonts w:ascii="Calibri" w:eastAsia="Calibri" w:hAnsi="Calibri" w:cs="Calibri"/>
        </w:rPr>
      </w:pPr>
    </w:p>
    <w:p w14:paraId="3ADE3A6E" w14:textId="77777777" w:rsidR="00795C64" w:rsidRDefault="00403C47">
      <w:pPr>
        <w:spacing w:line="276" w:lineRule="auto"/>
        <w:jc w:val="both"/>
        <w:rPr>
          <w:rFonts w:ascii="Calibri" w:eastAsia="Calibri" w:hAnsi="Calibri" w:cs="Calibri"/>
        </w:rPr>
      </w:pPr>
      <w:r>
        <w:rPr>
          <w:rFonts w:ascii="Calibri" w:eastAsia="Calibri" w:hAnsi="Calibri" w:cs="Calibri"/>
          <w:b/>
        </w:rPr>
        <w:t>Date of approval in department:                                Seminary titular</w:t>
      </w:r>
      <w:r>
        <w:rPr>
          <w:rFonts w:ascii="Calibri" w:eastAsia="Calibri" w:hAnsi="Calibri" w:cs="Calibri"/>
        </w:rPr>
        <w:t>:</w:t>
      </w:r>
    </w:p>
    <w:p w14:paraId="7A746540" w14:textId="77777777" w:rsidR="00795C64" w:rsidRDefault="00403C47">
      <w:pPr>
        <w:spacing w:line="276" w:lineRule="auto"/>
        <w:jc w:val="both"/>
        <w:rPr>
          <w:rFonts w:ascii="Calibri" w:eastAsia="Calibri" w:hAnsi="Calibri" w:cs="Calibri"/>
        </w:rPr>
      </w:pPr>
      <w:r>
        <w:rPr>
          <w:rFonts w:ascii="Calibri" w:eastAsia="Calibri" w:hAnsi="Calibri" w:cs="Calibri"/>
        </w:rPr>
        <w:t xml:space="preserve">                                                                                           Signature:</w:t>
      </w:r>
    </w:p>
    <w:p w14:paraId="5E5D398A" w14:textId="77777777" w:rsidR="00795C64" w:rsidRDefault="00795C64">
      <w:pPr>
        <w:spacing w:line="276" w:lineRule="auto"/>
        <w:jc w:val="both"/>
        <w:rPr>
          <w:rFonts w:ascii="Calibri" w:eastAsia="Calibri" w:hAnsi="Calibri" w:cs="Calibri"/>
        </w:rPr>
      </w:pPr>
    </w:p>
    <w:p w14:paraId="3975558D" w14:textId="77777777" w:rsidR="00795C64" w:rsidRDefault="00795C64">
      <w:pPr>
        <w:spacing w:line="276" w:lineRule="auto"/>
        <w:jc w:val="both"/>
        <w:rPr>
          <w:rFonts w:ascii="Calibri" w:eastAsia="Calibri" w:hAnsi="Calibri" w:cs="Calibri"/>
        </w:rPr>
      </w:pPr>
    </w:p>
    <w:p w14:paraId="655FC3B5" w14:textId="77777777" w:rsidR="00795C64" w:rsidRDefault="00403C47">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p>
    <w:sectPr w:rsidR="00795C64" w:rsidSect="00F14999">
      <w:headerReference w:type="default" r:id="rId10"/>
      <w:footerReference w:type="even" r:id="rId11"/>
      <w:footerReference w:type="default" r:id="rId12"/>
      <w:headerReference w:type="first" r:id="rId13"/>
      <w:footerReference w:type="first" r:id="rId14"/>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D2D6F" w14:textId="77777777" w:rsidR="00403C47" w:rsidRDefault="00403C47">
      <w:r>
        <w:separator/>
      </w:r>
    </w:p>
  </w:endnote>
  <w:endnote w:type="continuationSeparator" w:id="0">
    <w:p w14:paraId="78F8A991" w14:textId="77777777" w:rsidR="00403C47" w:rsidRDefault="0040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403C47">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403C47">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w:t>
                          </w:r>
                          <w:r w:rsidRPr="00A40E25">
                            <w:rPr>
                              <w:rFonts w:ascii="Arial" w:eastAsia="Arial" w:hAnsi="Arial" w:cs="Arial"/>
                              <w:color w:val="A6A6A6"/>
                              <w:sz w:val="17"/>
                              <w:highlight w:val="white"/>
                              <w:lang w:val="ro-RO"/>
                            </w:rPr>
                            <w:t>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403C47">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w:t>
                    </w:r>
                    <w:r w:rsidRPr="00A40E25">
                      <w:rPr>
                        <w:rFonts w:ascii="Arial" w:eastAsia="Arial" w:hAnsi="Arial" w:cs="Arial"/>
                        <w:color w:val="A6A6A6"/>
                        <w:sz w:val="17"/>
                        <w:highlight w:val="white"/>
                        <w:lang w:val="ro-RO"/>
                      </w:rPr>
                      <w:t>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403C47">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403C47">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403C47">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403C47">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403C47">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403C47">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403C47">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403C47">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DD6E0" w14:textId="77777777" w:rsidR="00403C47" w:rsidRDefault="00403C47">
      <w:r>
        <w:separator/>
      </w:r>
    </w:p>
  </w:footnote>
  <w:footnote w:type="continuationSeparator" w:id="0">
    <w:p w14:paraId="2175AD27" w14:textId="77777777" w:rsidR="00403C47" w:rsidRDefault="00403C47">
      <w:r>
        <w:continuationSeparator/>
      </w:r>
    </w:p>
  </w:footnote>
  <w:footnote w:id="1">
    <w:p w14:paraId="784825DC" w14:textId="77777777" w:rsidR="00795C64" w:rsidRDefault="00403C47" w:rsidP="00AA5F3B">
      <w:pPr>
        <w:jc w:val="both"/>
        <w:rPr>
          <w:rFonts w:ascii="Calibri" w:eastAsia="Calibri" w:hAnsi="Calibri" w:cs="Calibri"/>
          <w:sz w:val="20"/>
          <w:szCs w:val="20"/>
        </w:rPr>
      </w:pPr>
      <w:r>
        <w:rPr>
          <w:rStyle w:val="FootnoteReference"/>
        </w:rPr>
        <w:footnoteRef/>
      </w:r>
      <w:r>
        <w:rPr>
          <w:rFonts w:ascii="Calibri" w:eastAsia="Calibri" w:hAnsi="Calibri" w:cs="Calibri"/>
          <w:sz w:val="20"/>
          <w:szCs w:val="20"/>
        </w:rPr>
        <w:t xml:space="preserve"> According to article 37, paragraph (1) of the Higher Education Law no. 199/2023, with subsequent amendments and additions, "the academic success of a student during a study program is determined by verifying the acquisition of the expected learning outcomes through exam-type evaluations and evaluation throughout the semester".</w:t>
      </w:r>
    </w:p>
  </w:footnote>
  <w:footnote w:id="2">
    <w:p w14:paraId="250320E7" w14:textId="34BC2893" w:rsidR="0050217E" w:rsidRPr="00304691" w:rsidRDefault="0050217E" w:rsidP="00AA5F3B">
      <w:pPr>
        <w:pStyle w:val="FootnoteText"/>
        <w:jc w:val="both"/>
        <w:rPr>
          <w:lang w:val="ro-RO"/>
        </w:rPr>
      </w:pPr>
      <w:r w:rsidRPr="00304691">
        <w:rPr>
          <w:rStyle w:val="FootnoteReference"/>
        </w:rPr>
        <w:footnoteRef/>
      </w:r>
      <w:r w:rsidRPr="00304691">
        <w:t xml:space="preserve"> </w:t>
      </w:r>
      <w:r w:rsidR="000D7071" w:rsidRPr="00304691">
        <w:t xml:space="preserve">The total number of contact hours and individual study hours will be aligned with the number of credits allocated to the course. One credit corresponds to </w:t>
      </w:r>
      <w:r w:rsidR="0081477F" w:rsidRPr="00304691">
        <w:t xml:space="preserve">a total </w:t>
      </w:r>
      <w:r w:rsidR="000D7071" w:rsidRPr="00304691">
        <w:t xml:space="preserve">between 25 and 30 hours of teaching activities and individual study. </w:t>
      </w:r>
      <w:r w:rsidR="00255FFC" w:rsidRPr="00304691">
        <w:t xml:space="preserve"> At the level of academic departments </w:t>
      </w:r>
      <w:r w:rsidR="000D7071" w:rsidRPr="00304691">
        <w:t xml:space="preserve">may </w:t>
      </w:r>
      <w:r w:rsidR="00255FFC" w:rsidRPr="00304691">
        <w:t>establish, by discipline categories, the exact equivalence between one credit and the number of hours.</w:t>
      </w:r>
    </w:p>
  </w:footnote>
  <w:footnote w:id="3">
    <w:p w14:paraId="6533C65A" w14:textId="3C3C07E7" w:rsidR="0050217E" w:rsidRPr="00304691" w:rsidRDefault="0050217E" w:rsidP="00AA5F3B">
      <w:pPr>
        <w:pStyle w:val="FootnoteText"/>
        <w:jc w:val="both"/>
        <w:rPr>
          <w:lang w:val="ro-RO"/>
        </w:rPr>
      </w:pPr>
      <w:r w:rsidRPr="00304691">
        <w:rPr>
          <w:rStyle w:val="FootnoteReference"/>
        </w:rPr>
        <w:footnoteRef/>
      </w:r>
      <w:r w:rsidRPr="00304691">
        <w:t xml:space="preserve"> </w:t>
      </w:r>
      <w:r w:rsidR="00AA5F3B" w:rsidRPr="00304691">
        <w:t xml:space="preserve">The hours corresponding to examinations are added only to </w:t>
      </w:r>
      <w:r w:rsidR="0081477F" w:rsidRPr="00304691">
        <w:t xml:space="preserve">the </w:t>
      </w:r>
      <w:r w:rsidR="00AA5F3B" w:rsidRPr="00304691">
        <w:t>point 3.8 – T</w:t>
      </w:r>
      <w:r w:rsidR="0081477F" w:rsidRPr="00304691">
        <w:t>he t</w:t>
      </w:r>
      <w:r w:rsidR="00AA5F3B" w:rsidRPr="00304691">
        <w:t xml:space="preserve">otal hours per semester, not to </w:t>
      </w:r>
      <w:r w:rsidR="0081477F" w:rsidRPr="00304691">
        <w:t xml:space="preserve">be added to the </w:t>
      </w:r>
      <w:r w:rsidR="00AA5F3B" w:rsidRPr="00304691">
        <w:t>point 3.7 – Total hours of individual study.</w:t>
      </w:r>
    </w:p>
  </w:footnote>
  <w:footnote w:id="4">
    <w:p w14:paraId="43CAB028" w14:textId="13AE0601" w:rsidR="0050217E" w:rsidRPr="0050217E" w:rsidRDefault="0050217E" w:rsidP="00AA5F3B">
      <w:pPr>
        <w:pStyle w:val="FootnoteText"/>
        <w:jc w:val="both"/>
        <w:rPr>
          <w:lang w:val="ro-RO"/>
        </w:rPr>
      </w:pPr>
      <w:r w:rsidRPr="00304691">
        <w:rPr>
          <w:rStyle w:val="FootnoteReference"/>
        </w:rPr>
        <w:footnoteRef/>
      </w:r>
      <w:r w:rsidRPr="00304691">
        <w:t xml:space="preserve"> </w:t>
      </w:r>
      <w:r w:rsidR="00AA5F3B" w:rsidRPr="00304691">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403C47">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403C47">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403C47">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403C47">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403C47">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403C47">
                          <w:pPr>
                            <w:jc w:val="right"/>
                            <w:textDirection w:val="btLr"/>
                          </w:pPr>
                          <w:r>
                            <w:rPr>
                              <w:rFonts w:ascii="Open Sans" w:eastAsia="Open Sans" w:hAnsi="Open Sans" w:cs="Open Sans"/>
                              <w:color w:val="548DD4"/>
                              <w:sz w:val="16"/>
                            </w:rPr>
                            <w:t>MINISTERUL EDUCAȚIEI NAȚIONALE</w:t>
                          </w:r>
                        </w:p>
                        <w:p w14:paraId="75D53044" w14:textId="77777777" w:rsidR="00795C64" w:rsidRDefault="00403C47">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403C47">
                    <w:pPr>
                      <w:jc w:val="right"/>
                      <w:textDirection w:val="btLr"/>
                    </w:pPr>
                    <w:r>
                      <w:rPr>
                        <w:rFonts w:ascii="Open Sans" w:eastAsia="Open Sans" w:hAnsi="Open Sans" w:cs="Open Sans"/>
                        <w:color w:val="548DD4"/>
                        <w:sz w:val="16"/>
                      </w:rPr>
                      <w:t>MINISTERUL EDUCAȚIEI NAȚIONALE</w:t>
                    </w:r>
                  </w:p>
                  <w:p w14:paraId="75D53044" w14:textId="77777777" w:rsidR="00795C64" w:rsidRDefault="00403C47">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AD5287"/>
    <w:multiLevelType w:val="hybridMultilevel"/>
    <w:tmpl w:val="03680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0CC6859"/>
    <w:multiLevelType w:val="hybridMultilevel"/>
    <w:tmpl w:val="F42E2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D558F7"/>
    <w:multiLevelType w:val="hybridMultilevel"/>
    <w:tmpl w:val="69AC5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E43C8A"/>
    <w:multiLevelType w:val="hybridMultilevel"/>
    <w:tmpl w:val="8BA83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7A2A1E"/>
    <w:multiLevelType w:val="hybridMultilevel"/>
    <w:tmpl w:val="F7F62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61817"/>
    <w:multiLevelType w:val="hybridMultilevel"/>
    <w:tmpl w:val="F1EA2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2"/>
  </w:num>
  <w:num w:numId="2" w16cid:durableId="1625621859">
    <w:abstractNumId w:val="9"/>
  </w:num>
  <w:num w:numId="3" w16cid:durableId="2038700711">
    <w:abstractNumId w:val="8"/>
  </w:num>
  <w:num w:numId="4" w16cid:durableId="1840076038">
    <w:abstractNumId w:val="10"/>
  </w:num>
  <w:num w:numId="5" w16cid:durableId="640581100">
    <w:abstractNumId w:val="0"/>
  </w:num>
  <w:num w:numId="6" w16cid:durableId="939721036">
    <w:abstractNumId w:val="7"/>
  </w:num>
  <w:num w:numId="7" w16cid:durableId="67730999">
    <w:abstractNumId w:val="6"/>
  </w:num>
  <w:num w:numId="8" w16cid:durableId="517044569">
    <w:abstractNumId w:val="1"/>
  </w:num>
  <w:num w:numId="9" w16cid:durableId="1316183401">
    <w:abstractNumId w:val="4"/>
  </w:num>
  <w:num w:numId="10" w16cid:durableId="205678109">
    <w:abstractNumId w:val="3"/>
  </w:num>
  <w:num w:numId="11" w16cid:durableId="6349129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c0MzY3NTczMTJT0lEKTi0uzszPAykwrAUA9jkQ5CwAAAA="/>
  </w:docVars>
  <w:rsids>
    <w:rsidRoot w:val="00795C64"/>
    <w:rsid w:val="00006770"/>
    <w:rsid w:val="000361EF"/>
    <w:rsid w:val="000D7071"/>
    <w:rsid w:val="000F3B5C"/>
    <w:rsid w:val="0013109B"/>
    <w:rsid w:val="001472E7"/>
    <w:rsid w:val="001746F9"/>
    <w:rsid w:val="00186573"/>
    <w:rsid w:val="0019615C"/>
    <w:rsid w:val="001A6EE9"/>
    <w:rsid w:val="00255FFC"/>
    <w:rsid w:val="00275061"/>
    <w:rsid w:val="002C10D7"/>
    <w:rsid w:val="003038F2"/>
    <w:rsid w:val="00304691"/>
    <w:rsid w:val="00341EB7"/>
    <w:rsid w:val="003425ED"/>
    <w:rsid w:val="00367BB0"/>
    <w:rsid w:val="00381CDD"/>
    <w:rsid w:val="00403C47"/>
    <w:rsid w:val="00436003"/>
    <w:rsid w:val="0044285A"/>
    <w:rsid w:val="0044553D"/>
    <w:rsid w:val="004D37C7"/>
    <w:rsid w:val="004F02B5"/>
    <w:rsid w:val="004F574A"/>
    <w:rsid w:val="0050217E"/>
    <w:rsid w:val="0056272D"/>
    <w:rsid w:val="0059122B"/>
    <w:rsid w:val="005A1301"/>
    <w:rsid w:val="005B4FAB"/>
    <w:rsid w:val="005B7490"/>
    <w:rsid w:val="005C0510"/>
    <w:rsid w:val="0062052F"/>
    <w:rsid w:val="00634E28"/>
    <w:rsid w:val="006E7B9A"/>
    <w:rsid w:val="00712E46"/>
    <w:rsid w:val="00727C1B"/>
    <w:rsid w:val="00784D28"/>
    <w:rsid w:val="00786310"/>
    <w:rsid w:val="00795C64"/>
    <w:rsid w:val="007C36AB"/>
    <w:rsid w:val="0081477F"/>
    <w:rsid w:val="00826BB5"/>
    <w:rsid w:val="00840846"/>
    <w:rsid w:val="008752E5"/>
    <w:rsid w:val="008A2E93"/>
    <w:rsid w:val="008D0AC7"/>
    <w:rsid w:val="008D1BA0"/>
    <w:rsid w:val="008D2D39"/>
    <w:rsid w:val="00911196"/>
    <w:rsid w:val="009346D7"/>
    <w:rsid w:val="00942CB5"/>
    <w:rsid w:val="009505C4"/>
    <w:rsid w:val="00955C1D"/>
    <w:rsid w:val="009A260A"/>
    <w:rsid w:val="009E2E11"/>
    <w:rsid w:val="00A10900"/>
    <w:rsid w:val="00A131C5"/>
    <w:rsid w:val="00A3672A"/>
    <w:rsid w:val="00A40E25"/>
    <w:rsid w:val="00A46460"/>
    <w:rsid w:val="00A928A6"/>
    <w:rsid w:val="00AA5F3B"/>
    <w:rsid w:val="00AB2A89"/>
    <w:rsid w:val="00AD6FA5"/>
    <w:rsid w:val="00B41DA8"/>
    <w:rsid w:val="00B46D12"/>
    <w:rsid w:val="00BF430A"/>
    <w:rsid w:val="00C71329"/>
    <w:rsid w:val="00CA09AB"/>
    <w:rsid w:val="00CB3930"/>
    <w:rsid w:val="00CB740A"/>
    <w:rsid w:val="00CD5748"/>
    <w:rsid w:val="00CE0087"/>
    <w:rsid w:val="00D20ADB"/>
    <w:rsid w:val="00D34C15"/>
    <w:rsid w:val="00D42BDD"/>
    <w:rsid w:val="00D834BA"/>
    <w:rsid w:val="00D95E5E"/>
    <w:rsid w:val="00DB79E2"/>
    <w:rsid w:val="00DE49F4"/>
    <w:rsid w:val="00DE7BC2"/>
    <w:rsid w:val="00E55575"/>
    <w:rsid w:val="00EA212C"/>
    <w:rsid w:val="00ED0577"/>
    <w:rsid w:val="00EF77EA"/>
    <w:rsid w:val="00F0316C"/>
    <w:rsid w:val="00F03B2B"/>
    <w:rsid w:val="00F14999"/>
    <w:rsid w:val="00F35FB7"/>
    <w:rsid w:val="00F41385"/>
    <w:rsid w:val="00F46B55"/>
    <w:rsid w:val="00F57B07"/>
    <w:rsid w:val="00F94CEF"/>
    <w:rsid w:val="00F97C43"/>
    <w:rsid w:val="00FB11AA"/>
    <w:rsid w:val="00FC3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34"/>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1472E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uvt.ro/wp-content/uploads/sites/3/2026/01/Regulament-UVT_Utilizarea-AI-in-educatie.pdf"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2571</Words>
  <Characters>14656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Andrei Rusul</cp:lastModifiedBy>
  <cp:revision>55</cp:revision>
  <dcterms:created xsi:type="dcterms:W3CDTF">2026-01-28T12:33:00Z</dcterms:created>
  <dcterms:modified xsi:type="dcterms:W3CDTF">2026-02-17T16:26:00Z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f8c81c61-395c-4175-ac0e-89c26acfd5e2</vt:lpwstr>
  </property>
</Properties>
</file>